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A0EA9">
      <w:pPr>
        <w:pStyle w:val="32"/>
      </w:pPr>
    </w:p>
    <w:p w14:paraId="24EB69BE">
      <w:pPr>
        <w:pStyle w:val="32"/>
      </w:pPr>
      <w:r>
        <w:rPr>
          <w:rFonts w:hint="eastAsia"/>
        </w:rPr>
        <w:t>柳城县行政审批局文件</w:t>
      </w:r>
    </w:p>
    <w:p w14:paraId="1952C7F4">
      <w:pPr>
        <w:pStyle w:val="33"/>
        <w:spacing w:before="624"/>
        <w:rPr>
          <w:rFonts w:ascii="Times New Roman" w:hAnsi="Times New Roman" w:eastAsia="楷体_GB2312"/>
          <w:color w:val="000000"/>
          <w:sz w:val="32"/>
          <w:szCs w:val="32"/>
        </w:rPr>
      </w:pPr>
      <w:r>
        <w:rPr>
          <w:rFonts w:hint="eastAsia" w:ascii="Times New Roman" w:hAnsi="Times New Roman" w:eastAsia="仿宋_GB2312" w:cs="仿宋_GB2312"/>
        </w:rPr>
        <w:t>柳城审批项投审字</w:t>
      </w:r>
      <w:r>
        <w:rPr>
          <w:rFonts w:ascii="Times New Roman" w:hAnsi="Times New Roman" w:eastAsia="仿宋_GB2312"/>
        </w:rPr>
        <w:t>〔202</w:t>
      </w:r>
      <w:r>
        <w:rPr>
          <w:rFonts w:hint="eastAsia" w:ascii="Times New Roman" w:hAnsi="Times New Roman" w:eastAsia="仿宋_GB2312"/>
        </w:rPr>
        <w:t>5</w:t>
      </w:r>
      <w:r>
        <w:rPr>
          <w:rFonts w:ascii="Times New Roman" w:hAnsi="Times New Roman" w:eastAsia="仿宋_GB2312"/>
        </w:rPr>
        <w:t>〕</w:t>
      </w:r>
      <w:r>
        <w:rPr>
          <w:rFonts w:hint="eastAsia" w:ascii="Times New Roman" w:hAnsi="Times New Roman" w:eastAsia="仿宋_GB2312" w:cs="仿宋_GB2312"/>
          <w:lang w:val="en-US" w:eastAsia="zh-CN"/>
        </w:rPr>
        <w:t>28</w:t>
      </w:r>
      <w:r>
        <w:rPr>
          <w:rFonts w:hint="eastAsia" w:ascii="Times New Roman" w:hAnsi="Times New Roman" w:eastAsia="仿宋_GB2312" w:cs="仿宋_GB2312"/>
        </w:rPr>
        <w:t>号</w:t>
      </w:r>
    </w:p>
    <w:p w14:paraId="4BAC4154">
      <w:pPr>
        <w:spacing w:line="640" w:lineRule="exact"/>
        <w:rPr>
          <w:sz w:val="28"/>
          <w:szCs w:val="28"/>
        </w:rPr>
      </w:pPr>
      <w:r>
        <w:rPr>
          <w:rFonts w:eastAsia="黑体"/>
          <w:color w:val="FF0000"/>
          <w:sz w:val="96"/>
          <w:szCs w:val="20"/>
          <w:u w:val="single"/>
        </w:rPr>
        <w:t xml:space="preserve">      </w:t>
      </w:r>
      <w:r>
        <w:rPr>
          <w:rFonts w:hint="eastAsia" w:eastAsia="黑体"/>
          <w:color w:val="FF0000"/>
          <w:sz w:val="96"/>
          <w:szCs w:val="20"/>
          <w:u w:val="single"/>
        </w:rPr>
        <w:t xml:space="preserve">  </w:t>
      </w:r>
      <w:r>
        <w:rPr>
          <w:rFonts w:eastAsia="黑体"/>
          <w:color w:val="FF0000"/>
          <w:sz w:val="96"/>
          <w:szCs w:val="20"/>
          <w:u w:val="single"/>
        </w:rPr>
        <w:t xml:space="preserve">            </w:t>
      </w:r>
    </w:p>
    <w:p w14:paraId="7038CADE">
      <w:pPr>
        <w:pStyle w:val="34"/>
        <w:spacing w:before="100" w:line="240" w:lineRule="auto"/>
        <w:rPr>
          <w:rFonts w:hint="eastAsia" w:cs="宋体"/>
        </w:rPr>
      </w:pPr>
      <w:r>
        <w:rPr>
          <w:rFonts w:hint="eastAsia" w:cs="宋体"/>
        </w:rPr>
        <w:t>关于广西页岩气勘探开发有限公司柳城北区块常规气成藏条件研究与试验评价(柳旗1井勘探项目)环境影响报告表的批复</w:t>
      </w:r>
    </w:p>
    <w:p w14:paraId="13A60381">
      <w:pPr>
        <w:pStyle w:val="35"/>
        <w:keepNext w:val="0"/>
        <w:keepLines w:val="0"/>
        <w:pageBreakBefore w:val="0"/>
        <w:widowControl w:val="0"/>
        <w:kinsoku/>
        <w:wordWrap/>
        <w:overflowPunct/>
        <w:topLinePunct w:val="0"/>
        <w:autoSpaceDE/>
        <w:autoSpaceDN/>
        <w:bidi w:val="0"/>
        <w:adjustRightInd/>
        <w:snapToGrid/>
        <w:spacing w:before="312" w:line="520" w:lineRule="exact"/>
        <w:textAlignment w:val="auto"/>
        <w:rPr>
          <w:rFonts w:ascii="Times New Roman" w:hAnsi="Times New Roman" w:eastAsia="仿宋_GB2312" w:cs="仿宋_GB2312"/>
          <w:color w:val="auto"/>
        </w:rPr>
      </w:pPr>
      <w:r>
        <w:rPr>
          <w:rFonts w:hint="eastAsia" w:ascii="Times New Roman" w:hAnsi="Times New Roman" w:eastAsia="仿宋_GB2312" w:cs="仿宋_GB2312"/>
          <w:color w:val="auto"/>
        </w:rPr>
        <w:t>广西页岩气勘探开发有限公司：</w:t>
      </w:r>
    </w:p>
    <w:p w14:paraId="34CB166F">
      <w:pPr>
        <w:pStyle w:val="36"/>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eastAsia="仿宋_GB2312" w:cs="仿宋_GB2312"/>
          <w:color w:val="auto"/>
        </w:rPr>
      </w:pPr>
      <w:r>
        <w:rPr>
          <w:rFonts w:hint="eastAsia" w:eastAsia="仿宋_GB2312" w:cs="仿宋_GB2312"/>
          <w:color w:val="auto"/>
        </w:rPr>
        <w:t>你公司报来《柳城北区块常规气成藏条件研究与试验评价(柳旗1井勘探项目)环境影响报告表》（以下简称《报告表》）收悉。经我局审核，现批复如下：</w:t>
      </w:r>
    </w:p>
    <w:p w14:paraId="3CFBE587">
      <w:pPr>
        <w:pStyle w:val="36"/>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textAlignment w:val="auto"/>
        <w:rPr>
          <w:rFonts w:eastAsia="仿宋_GB2312" w:cs="仿宋_GB2312"/>
          <w:color w:val="auto"/>
        </w:rPr>
      </w:pPr>
      <w:r>
        <w:rPr>
          <w:rFonts w:hint="eastAsia" w:eastAsia="仿宋_GB2312" w:cs="仿宋_GB2312"/>
          <w:color w:val="auto"/>
        </w:rPr>
        <w:t>本项目为新建工程，位于广西壮族自治区柳州市柳城县龙头镇，占地面积4755.33平方米。建设规模：建设</w:t>
      </w:r>
      <w:r>
        <w:rPr>
          <w:rFonts w:hint="eastAsia" w:eastAsia="仿宋_GB2312" w:cs="仿宋_GB2312"/>
          <w:color w:val="auto"/>
          <w:lang w:val="en-US" w:eastAsia="zh-CN"/>
        </w:rPr>
        <w:t>1座</w:t>
      </w:r>
      <w:r>
        <w:rPr>
          <w:rFonts w:hint="eastAsia" w:eastAsia="仿宋_GB2312" w:cs="仿宋_GB2312"/>
          <w:color w:val="auto"/>
        </w:rPr>
        <w:t>柳旗1井探井仅作为油气资源勘探项目，不涉及开采。</w:t>
      </w:r>
      <w:bookmarkStart w:id="0" w:name="_GoBack"/>
      <w:bookmarkEnd w:id="0"/>
    </w:p>
    <w:p w14:paraId="502DC679">
      <w:pPr>
        <w:pStyle w:val="36"/>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eastAsia="仿宋_GB2312" w:cs="仿宋_GB2312"/>
          <w:color w:val="auto"/>
        </w:rPr>
      </w:pPr>
      <w:r>
        <w:rPr>
          <w:rFonts w:hint="eastAsia" w:eastAsia="仿宋_GB2312" w:cs="仿宋_GB2312"/>
          <w:color w:val="auto"/>
        </w:rPr>
        <w:t>项目建设内容包括</w:t>
      </w:r>
      <w:r>
        <w:rPr>
          <w:rFonts w:hint="eastAsia" w:eastAsia="仿宋_GB2312" w:cs="仿宋_GB2312"/>
          <w:color w:val="auto"/>
          <w:lang w:eastAsia="zh-CN"/>
        </w:rPr>
        <w:t>：</w:t>
      </w:r>
      <w:r>
        <w:rPr>
          <w:rFonts w:hint="eastAsia" w:eastAsia="仿宋_GB2312" w:cs="仿宋_GB2312"/>
          <w:color w:val="auto"/>
        </w:rPr>
        <w:t>主体工程</w:t>
      </w:r>
      <w:r>
        <w:rPr>
          <w:rFonts w:hint="eastAsia" w:eastAsia="仿宋_GB2312" w:cs="仿宋_GB2312"/>
          <w:color w:val="auto"/>
          <w:lang w:eastAsia="zh-CN"/>
        </w:rPr>
        <w:t>（井场、清洁操作平台岩屑暂存区、清水池</w:t>
      </w:r>
      <w:r>
        <w:rPr>
          <w:rFonts w:hint="eastAsia" w:eastAsia="仿宋_GB2312" w:cs="仿宋_GB2312"/>
          <w:color w:val="auto"/>
          <w:lang w:val="en-US" w:eastAsia="zh-CN"/>
        </w:rPr>
        <w:t>等</w:t>
      </w:r>
      <w:r>
        <w:rPr>
          <w:rFonts w:hint="eastAsia" w:eastAsia="仿宋_GB2312" w:cs="仿宋_GB2312"/>
          <w:color w:val="auto"/>
          <w:lang w:eastAsia="zh-CN"/>
        </w:rPr>
        <w:t>）；</w:t>
      </w:r>
      <w:r>
        <w:rPr>
          <w:rFonts w:hint="eastAsia" w:eastAsia="仿宋_GB2312" w:cs="仿宋_GB2312"/>
          <w:color w:val="auto"/>
          <w:lang w:val="en-US" w:eastAsia="zh-CN"/>
        </w:rPr>
        <w:t>辅助</w:t>
      </w:r>
      <w:r>
        <w:rPr>
          <w:rFonts w:hint="eastAsia" w:eastAsia="仿宋_GB2312" w:cs="仿宋_GB2312"/>
          <w:color w:val="auto"/>
        </w:rPr>
        <w:t>工程（钻井泥浆循环装置</w:t>
      </w:r>
      <w:r>
        <w:rPr>
          <w:rFonts w:hint="eastAsia" w:eastAsia="仿宋_GB2312" w:cs="仿宋_GB2312"/>
          <w:color w:val="auto"/>
          <w:lang w:eastAsia="zh-CN"/>
        </w:rPr>
        <w:t>、</w:t>
      </w:r>
      <w:r>
        <w:rPr>
          <w:rFonts w:hint="eastAsia" w:eastAsia="仿宋_GB2312" w:cs="仿宋_GB2312"/>
          <w:color w:val="auto"/>
        </w:rPr>
        <w:t>钻井参数测定装置</w:t>
      </w:r>
      <w:r>
        <w:rPr>
          <w:rFonts w:hint="eastAsia" w:eastAsia="仿宋_GB2312" w:cs="仿宋_GB2312"/>
          <w:color w:val="auto"/>
          <w:lang w:eastAsia="zh-CN"/>
        </w:rPr>
        <w:t>、</w:t>
      </w:r>
      <w:r>
        <w:rPr>
          <w:rFonts w:hint="eastAsia" w:eastAsia="仿宋_GB2312" w:cs="仿宋_GB2312"/>
          <w:color w:val="auto"/>
        </w:rPr>
        <w:t>钻井监控装置</w:t>
      </w:r>
      <w:r>
        <w:rPr>
          <w:rFonts w:hint="eastAsia" w:eastAsia="仿宋_GB2312" w:cs="仿宋_GB2312"/>
          <w:color w:val="auto"/>
          <w:lang w:eastAsia="zh-CN"/>
        </w:rPr>
        <w:t>、</w:t>
      </w:r>
      <w:r>
        <w:rPr>
          <w:rFonts w:hint="eastAsia" w:eastAsia="仿宋_GB2312" w:cs="仿宋_GB2312"/>
          <w:color w:val="auto"/>
        </w:rPr>
        <w:t>放喷点火装置</w:t>
      </w:r>
      <w:r>
        <w:rPr>
          <w:rFonts w:hint="eastAsia" w:eastAsia="仿宋_GB2312" w:cs="仿宋_GB2312"/>
          <w:color w:val="auto"/>
          <w:lang w:eastAsia="zh-CN"/>
        </w:rPr>
        <w:t>、</w:t>
      </w:r>
      <w:r>
        <w:rPr>
          <w:rFonts w:hint="eastAsia" w:eastAsia="仿宋_GB2312" w:cs="仿宋_GB2312"/>
          <w:color w:val="auto"/>
        </w:rPr>
        <w:t>动力系统</w:t>
      </w:r>
      <w:r>
        <w:rPr>
          <w:rFonts w:hint="eastAsia" w:eastAsia="仿宋_GB2312" w:cs="仿宋_GB2312"/>
          <w:color w:val="auto"/>
          <w:lang w:eastAsia="zh-CN"/>
        </w:rPr>
        <w:t>、</w:t>
      </w:r>
      <w:r>
        <w:rPr>
          <w:rFonts w:hint="eastAsia" w:eastAsia="仿宋_GB2312" w:cs="仿宋_GB2312"/>
          <w:color w:val="auto"/>
        </w:rPr>
        <w:t>地质房</w:t>
      </w:r>
      <w:r>
        <w:rPr>
          <w:rFonts w:hint="eastAsia" w:eastAsia="仿宋_GB2312" w:cs="仿宋_GB2312"/>
          <w:color w:val="auto"/>
          <w:lang w:eastAsia="zh-CN"/>
        </w:rPr>
        <w:t>、</w:t>
      </w:r>
      <w:r>
        <w:rPr>
          <w:rFonts w:hint="eastAsia" w:eastAsia="仿宋_GB2312" w:cs="仿宋_GB2312"/>
          <w:color w:val="auto"/>
        </w:rPr>
        <w:t>管理房</w:t>
      </w:r>
      <w:r>
        <w:rPr>
          <w:rFonts w:hint="eastAsia" w:eastAsia="仿宋_GB2312" w:cs="仿宋_GB2312"/>
          <w:color w:val="auto"/>
          <w:lang w:eastAsia="zh-CN"/>
        </w:rPr>
        <w:t>、</w:t>
      </w:r>
      <w:r>
        <w:rPr>
          <w:rFonts w:hint="eastAsia" w:eastAsia="仿宋_GB2312" w:cs="仿宋_GB2312"/>
          <w:color w:val="auto"/>
        </w:rPr>
        <w:t>表土场</w:t>
      </w:r>
      <w:r>
        <w:rPr>
          <w:rFonts w:hint="eastAsia" w:eastAsia="仿宋_GB2312" w:cs="仿宋_GB2312"/>
          <w:color w:val="auto"/>
          <w:lang w:eastAsia="zh-CN"/>
        </w:rPr>
        <w:t>、</w:t>
      </w:r>
      <w:r>
        <w:rPr>
          <w:rFonts w:hint="eastAsia" w:eastAsia="仿宋_GB2312" w:cs="仿宋_GB2312"/>
          <w:color w:val="auto"/>
        </w:rPr>
        <w:t>生活营区等）</w:t>
      </w:r>
      <w:r>
        <w:rPr>
          <w:rFonts w:hint="eastAsia" w:eastAsia="仿宋_GB2312" w:cs="仿宋_GB2312"/>
          <w:color w:val="auto"/>
          <w:lang w:eastAsia="zh-CN"/>
        </w:rPr>
        <w:t>；</w:t>
      </w:r>
      <w:r>
        <w:rPr>
          <w:rFonts w:hint="eastAsia" w:eastAsia="仿宋_GB2312" w:cs="仿宋_GB2312"/>
          <w:color w:val="auto"/>
          <w:lang w:val="en-US" w:eastAsia="zh-CN"/>
        </w:rPr>
        <w:t>储运</w:t>
      </w:r>
      <w:r>
        <w:rPr>
          <w:rFonts w:hint="eastAsia" w:eastAsia="仿宋_GB2312" w:cs="仿宋_GB2312"/>
          <w:color w:val="auto"/>
        </w:rPr>
        <w:t>工程（循环罐区</w:t>
      </w:r>
      <w:r>
        <w:rPr>
          <w:rFonts w:hint="eastAsia" w:eastAsia="仿宋_GB2312" w:cs="仿宋_GB2312"/>
          <w:color w:val="auto"/>
          <w:lang w:val="en-US" w:eastAsia="zh-CN"/>
        </w:rPr>
        <w:t>内含4个容积为60立方米的循环罐和4个容积为40立方米的储备罐</w:t>
      </w:r>
      <w:r>
        <w:rPr>
          <w:rFonts w:hint="eastAsia" w:eastAsia="仿宋_GB2312" w:cs="仿宋_GB2312"/>
          <w:color w:val="auto"/>
          <w:lang w:eastAsia="zh-CN"/>
        </w:rPr>
        <w:t>、</w:t>
      </w:r>
      <w:r>
        <w:rPr>
          <w:rFonts w:hint="eastAsia" w:eastAsia="仿宋_GB2312" w:cs="仿宋_GB2312"/>
          <w:color w:val="auto"/>
        </w:rPr>
        <w:t>油罐区</w:t>
      </w:r>
      <w:r>
        <w:rPr>
          <w:rFonts w:hint="eastAsia" w:eastAsia="仿宋_GB2312" w:cs="仿宋_GB2312"/>
          <w:color w:val="auto"/>
          <w:lang w:val="en-US" w:eastAsia="zh-CN"/>
        </w:rPr>
        <w:t>内含1</w:t>
      </w:r>
      <w:r>
        <w:rPr>
          <w:rFonts w:hint="eastAsia" w:eastAsia="仿宋_GB2312" w:cs="仿宋_GB2312"/>
          <w:color w:val="auto"/>
        </w:rPr>
        <w:t>个</w:t>
      </w:r>
      <w:r>
        <w:rPr>
          <w:rFonts w:hint="eastAsia" w:eastAsia="仿宋_GB2312" w:cs="仿宋_GB2312"/>
          <w:color w:val="auto"/>
          <w:lang w:val="en-US" w:eastAsia="zh-CN"/>
        </w:rPr>
        <w:t>容积为30立方米的</w:t>
      </w:r>
      <w:r>
        <w:rPr>
          <w:rFonts w:hint="eastAsia" w:eastAsia="仿宋_GB2312" w:cs="仿宋_GB2312"/>
          <w:color w:val="auto"/>
        </w:rPr>
        <w:t>卧式罐</w:t>
      </w:r>
      <w:r>
        <w:rPr>
          <w:rFonts w:hint="eastAsia" w:eastAsia="仿宋_GB2312" w:cs="仿宋_GB2312"/>
          <w:color w:val="auto"/>
          <w:lang w:val="en-US" w:eastAsia="zh-CN"/>
        </w:rPr>
        <w:t>和</w:t>
      </w:r>
      <w:r>
        <w:rPr>
          <w:rFonts w:hint="eastAsia" w:eastAsia="仿宋_GB2312" w:cs="仿宋_GB2312"/>
          <w:color w:val="auto"/>
        </w:rPr>
        <w:t>1个容积为</w:t>
      </w:r>
      <w:r>
        <w:rPr>
          <w:rFonts w:hint="eastAsia" w:eastAsia="仿宋_GB2312" w:cs="仿宋_GB2312"/>
          <w:color w:val="auto"/>
          <w:lang w:val="en-US" w:eastAsia="zh-CN"/>
        </w:rPr>
        <w:t>2</w:t>
      </w:r>
      <w:r>
        <w:rPr>
          <w:rFonts w:hint="eastAsia" w:eastAsia="仿宋_GB2312" w:cs="仿宋_GB2312"/>
          <w:color w:val="auto"/>
        </w:rPr>
        <w:t>0立方米的竖式罐</w:t>
      </w:r>
      <w:r>
        <w:rPr>
          <w:rFonts w:hint="eastAsia" w:eastAsia="仿宋_GB2312" w:cs="仿宋_GB2312"/>
          <w:color w:val="auto"/>
          <w:lang w:eastAsia="zh-CN"/>
        </w:rPr>
        <w:t>、</w:t>
      </w:r>
      <w:r>
        <w:rPr>
          <w:rFonts w:hint="eastAsia" w:eastAsia="仿宋_GB2312" w:cs="仿宋_GB2312"/>
          <w:color w:val="auto"/>
        </w:rPr>
        <w:t>药品房</w:t>
      </w:r>
      <w:r>
        <w:rPr>
          <w:rFonts w:hint="eastAsia" w:eastAsia="仿宋_GB2312" w:cs="仿宋_GB2312"/>
          <w:color w:val="auto"/>
          <w:lang w:eastAsia="zh-CN"/>
        </w:rPr>
        <w:t>、</w:t>
      </w:r>
      <w:r>
        <w:rPr>
          <w:rFonts w:hint="eastAsia" w:eastAsia="仿宋_GB2312" w:cs="仿宋_GB2312"/>
          <w:color w:val="auto"/>
        </w:rPr>
        <w:t>材料房等）</w:t>
      </w:r>
      <w:r>
        <w:rPr>
          <w:rFonts w:hint="eastAsia" w:eastAsia="仿宋_GB2312" w:cs="仿宋_GB2312"/>
          <w:color w:val="auto"/>
          <w:lang w:eastAsia="zh-CN"/>
        </w:rPr>
        <w:t>；</w:t>
      </w:r>
      <w:r>
        <w:rPr>
          <w:color w:val="auto"/>
          <w:highlight w:val="none"/>
        </w:rPr>
        <w:t>公用工程</w:t>
      </w:r>
      <w:r>
        <w:rPr>
          <w:rFonts w:hint="eastAsia"/>
          <w:color w:val="auto"/>
          <w:highlight w:val="none"/>
          <w:lang w:eastAsia="zh-CN"/>
        </w:rPr>
        <w:t>（供电、供水、排水</w:t>
      </w:r>
      <w:r>
        <w:rPr>
          <w:rFonts w:hint="eastAsia"/>
          <w:color w:val="auto"/>
          <w:highlight w:val="none"/>
          <w:lang w:val="en-US" w:eastAsia="zh-CN"/>
        </w:rPr>
        <w:t>等</w:t>
      </w:r>
      <w:r>
        <w:rPr>
          <w:rFonts w:hint="eastAsia"/>
          <w:color w:val="auto"/>
          <w:highlight w:val="none"/>
          <w:lang w:eastAsia="zh-CN"/>
        </w:rPr>
        <w:t>）；</w:t>
      </w:r>
      <w:r>
        <w:rPr>
          <w:rFonts w:hint="eastAsia" w:eastAsia="仿宋_GB2312" w:cs="仿宋_GB2312"/>
          <w:color w:val="auto"/>
        </w:rPr>
        <w:t>环保工程（</w:t>
      </w:r>
      <w:r>
        <w:rPr>
          <w:rFonts w:hint="eastAsia" w:eastAsia="仿宋_GB2312" w:cs="仿宋_GB2312"/>
          <w:color w:val="auto"/>
          <w:lang w:val="en-US" w:eastAsia="zh-CN"/>
        </w:rPr>
        <w:t>1个容积为200立方米的放喷池、1个容积为200立方米的污水池、一个占地50平方米的岩屑堆存区、一座占地10平方米的危险废物暂存间、1个垃圾池</w:t>
      </w:r>
      <w:r>
        <w:rPr>
          <w:rFonts w:hint="eastAsia" w:eastAsia="仿宋_GB2312" w:cs="仿宋_GB2312"/>
          <w:color w:val="auto"/>
        </w:rPr>
        <w:t>等）</w:t>
      </w:r>
      <w:r>
        <w:rPr>
          <w:rFonts w:hint="eastAsia" w:eastAsia="仿宋_GB2312" w:cs="仿宋_GB2312"/>
          <w:color w:val="auto"/>
          <w:lang w:eastAsia="zh-CN"/>
        </w:rPr>
        <w:t>；</w:t>
      </w:r>
      <w:r>
        <w:rPr>
          <w:rFonts w:hint="eastAsia" w:eastAsia="仿宋_GB2312" w:cs="仿宋_GB2312"/>
          <w:color w:val="auto"/>
          <w:lang w:val="en-US" w:eastAsia="zh-CN"/>
        </w:rPr>
        <w:t>详见《报告表》正文。</w:t>
      </w:r>
    </w:p>
    <w:p w14:paraId="4BC08BC1">
      <w:pPr>
        <w:pStyle w:val="36"/>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eastAsia="仿宋_GB2312" w:cs="仿宋_GB2312"/>
          <w:color w:val="auto"/>
        </w:rPr>
      </w:pPr>
      <w:r>
        <w:rPr>
          <w:rFonts w:hint="eastAsia" w:eastAsia="仿宋_GB2312" w:cs="仿宋_GB2312"/>
          <w:color w:val="auto"/>
        </w:rPr>
        <w:t>项目不涉及自然保护区、饮用水源保护区、文物保护单位、地质公园、风景名胜区、基本农田等特殊保护对象。项目总投资</w:t>
      </w:r>
      <w:r>
        <w:rPr>
          <w:rFonts w:hint="eastAsia" w:eastAsia="仿宋_GB2312" w:cs="仿宋_GB2312"/>
          <w:color w:val="auto"/>
          <w:lang w:val="en-US" w:eastAsia="zh-CN"/>
        </w:rPr>
        <w:t>20</w:t>
      </w:r>
      <w:r>
        <w:rPr>
          <w:rFonts w:hint="eastAsia" w:eastAsia="仿宋_GB2312" w:cs="仿宋_GB2312"/>
          <w:color w:val="auto"/>
        </w:rPr>
        <w:t>00.00万元，其中环保投资</w:t>
      </w:r>
      <w:r>
        <w:rPr>
          <w:rFonts w:hint="eastAsia" w:eastAsia="仿宋_GB2312" w:cs="仿宋_GB2312"/>
          <w:color w:val="auto"/>
          <w:lang w:val="en-US" w:eastAsia="zh-CN"/>
        </w:rPr>
        <w:t>93.5</w:t>
      </w:r>
      <w:r>
        <w:rPr>
          <w:rFonts w:hint="eastAsia" w:eastAsia="仿宋_GB2312" w:cs="仿宋_GB2312"/>
          <w:color w:val="auto"/>
        </w:rPr>
        <w:t>0万元，占比</w:t>
      </w:r>
      <w:r>
        <w:rPr>
          <w:rFonts w:hint="eastAsia" w:eastAsia="仿宋_GB2312" w:cs="仿宋_GB2312"/>
          <w:color w:val="auto"/>
          <w:lang w:val="en-US" w:eastAsia="zh-CN"/>
        </w:rPr>
        <w:t>4.68</w:t>
      </w:r>
      <w:r>
        <w:rPr>
          <w:rFonts w:hint="eastAsia" w:eastAsia="仿宋_GB2312" w:cs="仿宋_GB2312"/>
          <w:color w:val="auto"/>
        </w:rPr>
        <w:t>%。</w:t>
      </w:r>
    </w:p>
    <w:p w14:paraId="6F8B22E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color w:val="auto"/>
          <w:sz w:val="32"/>
          <w:szCs w:val="32"/>
        </w:rPr>
      </w:pPr>
      <w:r>
        <w:rPr>
          <w:rFonts w:hint="eastAsia" w:eastAsia="仿宋_GB2312" w:cs="仿宋_GB2312"/>
          <w:color w:val="auto"/>
          <w:sz w:val="32"/>
          <w:szCs w:val="32"/>
        </w:rPr>
        <w:t>项目已获得广西壮族自治区投资项目备案证明</w:t>
      </w:r>
      <w:r>
        <w:rPr>
          <w:rFonts w:hint="eastAsia" w:eastAsia="仿宋_GB2312" w:cs="仿宋_GB2312"/>
          <w:color w:val="auto"/>
          <w:sz w:val="32"/>
          <w:szCs w:val="32"/>
          <w:lang w:eastAsia="zh-CN"/>
        </w:rPr>
        <w:t>，</w:t>
      </w:r>
      <w:r>
        <w:rPr>
          <w:rFonts w:hint="eastAsia" w:eastAsia="仿宋_GB2312" w:cs="仿宋_GB2312"/>
          <w:color w:val="auto"/>
          <w:sz w:val="32"/>
          <w:szCs w:val="32"/>
        </w:rPr>
        <w:t>项目建设符合《柳城县矿产资源总体规划（2021-2025年）》</w:t>
      </w:r>
      <w:r>
        <w:rPr>
          <w:rFonts w:hint="eastAsia" w:eastAsia="仿宋_GB2312" w:cs="仿宋_GB2312"/>
          <w:color w:val="auto"/>
          <w:sz w:val="32"/>
          <w:szCs w:val="32"/>
          <w:lang w:eastAsia="zh-CN"/>
        </w:rPr>
        <w:t>（</w:t>
      </w:r>
      <w:r>
        <w:rPr>
          <w:rFonts w:hint="eastAsia" w:eastAsia="仿宋_GB2312" w:cs="仿宋_GB2312"/>
          <w:color w:val="auto"/>
          <w:sz w:val="32"/>
          <w:szCs w:val="32"/>
        </w:rPr>
        <w:t>柳城政发〔2023〕27号</w:t>
      </w:r>
      <w:r>
        <w:rPr>
          <w:rFonts w:hint="eastAsia" w:eastAsia="仿宋_GB2312" w:cs="仿宋_GB2312"/>
          <w:color w:val="auto"/>
          <w:sz w:val="32"/>
          <w:szCs w:val="32"/>
          <w:lang w:eastAsia="zh-CN"/>
        </w:rPr>
        <w:t>）</w:t>
      </w:r>
      <w:r>
        <w:rPr>
          <w:rFonts w:hint="eastAsia" w:eastAsia="仿宋_GB2312" w:cs="仿宋_GB2312"/>
          <w:color w:val="auto"/>
          <w:sz w:val="32"/>
          <w:szCs w:val="32"/>
        </w:rPr>
        <w:t>管理要求。从环境影响角度考虑，同意你公司按照《报告表》所列的建设项目的地点、性质、规模、采取的环境保护对策措施及下述要求进行项目建设。</w:t>
      </w:r>
    </w:p>
    <w:p w14:paraId="2F77293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color w:val="auto"/>
          <w:sz w:val="32"/>
          <w:szCs w:val="32"/>
        </w:rPr>
      </w:pPr>
      <w:r>
        <w:rPr>
          <w:rFonts w:hint="eastAsia" w:eastAsia="仿宋_GB2312" w:cs="仿宋_GB2312"/>
          <w:color w:val="auto"/>
          <w:sz w:val="32"/>
          <w:szCs w:val="32"/>
        </w:rPr>
        <w:t>二、项目须落实《报告表》提出的各项环保要求，重点抓好以下环保工作：</w:t>
      </w:r>
    </w:p>
    <w:p w14:paraId="59EBBD56">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eastAsia="zh-CN"/>
        </w:rPr>
        <w:t>本</w:t>
      </w:r>
      <w:r>
        <w:rPr>
          <w:rFonts w:hint="eastAsia" w:eastAsia="仿宋_GB2312"/>
          <w:color w:val="auto"/>
          <w:sz w:val="32"/>
          <w:szCs w:val="32"/>
          <w:lang w:val="en-US" w:eastAsia="zh-CN"/>
        </w:rPr>
        <w:t>环境影响评价</w:t>
      </w:r>
      <w:r>
        <w:rPr>
          <w:rFonts w:hint="eastAsia" w:eastAsia="仿宋_GB2312"/>
          <w:color w:val="auto"/>
          <w:sz w:val="32"/>
          <w:szCs w:val="32"/>
          <w:lang w:eastAsia="zh-CN"/>
        </w:rPr>
        <w:t>批复只针对钻井勘探，不涉及后续开采工程内容，工程结束后即对临时占用的土地进行恢复。若需勘探转生产，需另行办理</w:t>
      </w:r>
      <w:r>
        <w:rPr>
          <w:rFonts w:hint="eastAsia" w:eastAsia="仿宋_GB2312"/>
          <w:color w:val="auto"/>
          <w:sz w:val="32"/>
          <w:szCs w:val="32"/>
          <w:lang w:val="en-US" w:eastAsia="zh-CN"/>
        </w:rPr>
        <w:t>环境影响评价</w:t>
      </w:r>
      <w:r>
        <w:rPr>
          <w:rFonts w:hint="eastAsia" w:eastAsia="仿宋_GB2312"/>
          <w:color w:val="auto"/>
          <w:sz w:val="32"/>
          <w:szCs w:val="32"/>
          <w:lang w:eastAsia="zh-CN"/>
        </w:rPr>
        <w:t>手续和</w:t>
      </w:r>
      <w:r>
        <w:rPr>
          <w:rFonts w:hint="eastAsia" w:eastAsia="仿宋_GB2312"/>
          <w:color w:val="auto"/>
          <w:sz w:val="32"/>
          <w:szCs w:val="32"/>
          <w:lang w:val="en-US" w:eastAsia="zh-CN"/>
        </w:rPr>
        <w:t>其他相关</w:t>
      </w:r>
      <w:r>
        <w:rPr>
          <w:rFonts w:hint="eastAsia" w:eastAsia="仿宋_GB2312"/>
          <w:color w:val="auto"/>
          <w:sz w:val="32"/>
          <w:szCs w:val="32"/>
          <w:lang w:eastAsia="zh-CN"/>
        </w:rPr>
        <w:t>手续。</w:t>
      </w:r>
    </w:p>
    <w:p w14:paraId="3494001E">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jc w:val="distribute"/>
        <w:textAlignment w:val="auto"/>
        <w:rPr>
          <w:rFonts w:hint="eastAsia" w:eastAsia="仿宋_GB2312"/>
          <w:color w:val="auto"/>
          <w:sz w:val="32"/>
          <w:szCs w:val="32"/>
          <w:lang w:eastAsia="zh-CN"/>
        </w:rPr>
      </w:pPr>
      <w:r>
        <w:rPr>
          <w:rFonts w:hint="eastAsia" w:eastAsia="仿宋_GB2312"/>
          <w:color w:val="auto"/>
          <w:sz w:val="32"/>
          <w:szCs w:val="32"/>
          <w:lang w:eastAsia="zh-CN"/>
        </w:rPr>
        <w:t>落实各项大气污染防治措施。采取设置施工围挡、定期洒水降尘等措施减少项目建设过程中的无组织排放，确保项目施工场界无组织排放颗粒物、</w:t>
      </w:r>
      <w:r>
        <w:rPr>
          <w:rFonts w:hint="eastAsia" w:eastAsia="仿宋_GB2312"/>
          <w:color w:val="auto"/>
          <w:sz w:val="32"/>
          <w:szCs w:val="32"/>
          <w:lang w:val="en-US" w:eastAsia="zh-CN"/>
        </w:rPr>
        <w:t>二氧化硫、氮氧化物、</w:t>
      </w:r>
      <w:r>
        <w:rPr>
          <w:rFonts w:hint="eastAsia" w:eastAsia="仿宋_GB2312"/>
          <w:color w:val="auto"/>
          <w:sz w:val="32"/>
          <w:szCs w:val="32"/>
          <w:lang w:eastAsia="zh-CN"/>
        </w:rPr>
        <w:t>非甲烷总烃浓度符合GB</w:t>
      </w:r>
      <w:r>
        <w:rPr>
          <w:rFonts w:hint="eastAsia" w:eastAsia="仿宋_GB2312"/>
          <w:color w:val="auto"/>
          <w:sz w:val="32"/>
          <w:szCs w:val="32"/>
          <w:lang w:val="en-US" w:eastAsia="zh-CN"/>
        </w:rPr>
        <w:t xml:space="preserve"> </w:t>
      </w:r>
      <w:r>
        <w:rPr>
          <w:rFonts w:hint="eastAsia" w:eastAsia="仿宋_GB2312"/>
          <w:color w:val="auto"/>
          <w:sz w:val="32"/>
          <w:szCs w:val="32"/>
          <w:lang w:eastAsia="zh-CN"/>
        </w:rPr>
        <w:t>16297-1996《大气污染物综合排放标准》</w:t>
      </w:r>
      <w:r>
        <w:rPr>
          <w:rFonts w:hint="eastAsia" w:eastAsia="仿宋_GB2312"/>
          <w:color w:val="auto"/>
          <w:sz w:val="32"/>
          <w:szCs w:val="32"/>
          <w:lang w:val="en-US" w:eastAsia="zh-CN"/>
        </w:rPr>
        <w:t>表2新污染源大气排放限值</w:t>
      </w:r>
      <w:r>
        <w:rPr>
          <w:rFonts w:hint="eastAsia" w:eastAsia="仿宋_GB2312"/>
          <w:color w:val="auto"/>
          <w:sz w:val="32"/>
          <w:szCs w:val="32"/>
          <w:lang w:eastAsia="zh-CN"/>
        </w:rPr>
        <w:t>中相应标准。事故放喷、测试放喷产生的废气经专用放喷管线引至放喷池后对空点火燃烧，放喷管线及放喷口的设置须严格执行SY/T</w:t>
      </w:r>
      <w:r>
        <w:rPr>
          <w:rFonts w:hint="eastAsia" w:eastAsia="仿宋_GB2312"/>
          <w:color w:val="auto"/>
          <w:sz w:val="32"/>
          <w:szCs w:val="32"/>
          <w:lang w:val="en-US" w:eastAsia="zh-CN"/>
        </w:rPr>
        <w:t xml:space="preserve"> </w:t>
      </w:r>
      <w:r>
        <w:rPr>
          <w:rFonts w:hint="eastAsia" w:eastAsia="仿宋_GB2312"/>
          <w:color w:val="auto"/>
          <w:sz w:val="32"/>
          <w:szCs w:val="32"/>
          <w:lang w:eastAsia="zh-CN"/>
        </w:rPr>
        <w:t>6426-2005《钻井井控技术规程》</w:t>
      </w:r>
    </w:p>
    <w:p w14:paraId="38118B5A">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eastAsia="仿宋_GB2312"/>
          <w:color w:val="auto"/>
          <w:sz w:val="32"/>
          <w:szCs w:val="32"/>
          <w:lang w:eastAsia="zh-CN"/>
        </w:rPr>
      </w:pPr>
      <w:r>
        <w:rPr>
          <w:rFonts w:hint="eastAsia" w:eastAsia="仿宋_GB2312"/>
          <w:color w:val="auto"/>
          <w:sz w:val="32"/>
          <w:szCs w:val="32"/>
          <w:lang w:eastAsia="zh-CN"/>
        </w:rPr>
        <w:t>及SY</w:t>
      </w:r>
      <w:r>
        <w:rPr>
          <w:rFonts w:hint="eastAsia" w:eastAsia="仿宋_GB2312"/>
          <w:color w:val="auto"/>
          <w:sz w:val="32"/>
          <w:szCs w:val="32"/>
          <w:lang w:val="en-US" w:eastAsia="zh-CN"/>
        </w:rPr>
        <w:t xml:space="preserve"> </w:t>
      </w:r>
      <w:r>
        <w:rPr>
          <w:rFonts w:hint="eastAsia" w:eastAsia="仿宋_GB2312"/>
          <w:color w:val="auto"/>
          <w:sz w:val="32"/>
          <w:szCs w:val="32"/>
          <w:lang w:eastAsia="zh-CN"/>
        </w:rPr>
        <w:t>5225-2012《石油天然气钻井、开发、储运、防火防爆安全生产技术规程》中相关规定，远离井场周边农户，最大程度减少废气对周边居民的影响。</w:t>
      </w:r>
    </w:p>
    <w:p w14:paraId="050D9FC5">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eastAsia="zh-CN"/>
        </w:rPr>
        <w:t>落实各项水污染防治措施。建设和完善项目“雨污分流、污污分流”的排水系统。井场周边须设置截、排水沟截留井场散落的废水；</w:t>
      </w:r>
      <w:r>
        <w:rPr>
          <w:rFonts w:hint="eastAsia" w:eastAsia="仿宋_GB2312"/>
          <w:color w:val="auto"/>
          <w:sz w:val="32"/>
          <w:szCs w:val="32"/>
          <w:lang w:val="en-US" w:eastAsia="zh-CN"/>
        </w:rPr>
        <w:t>项目井场内初期雨水经沉淀池收集经沉淀后回用于厂区抑尘用水，不外排；项目钻井废水全部进入泥浆循环系统的循环罐中暂存后循环利用于配浆作业，不可循环利用部分经污水池收集储存后，定期委托专业单位转运至柳城县污水处理厂处理；项目洗井废水全部进入“泥浆不落地”设备中循环利用于洗井作业，不可循环利用部分由罐车外运至柳城县污水处理厂处理；项目管道试压废水经污水池收集后用于井场内洒水，不外排；项目</w:t>
      </w:r>
      <w:r>
        <w:rPr>
          <w:rFonts w:hint="eastAsia" w:eastAsia="仿宋_GB2312"/>
          <w:color w:val="auto"/>
          <w:sz w:val="32"/>
          <w:szCs w:val="32"/>
          <w:lang w:eastAsia="zh-CN"/>
        </w:rPr>
        <w:t>生活污水通过化粪池处理后用作</w:t>
      </w:r>
      <w:r>
        <w:rPr>
          <w:rFonts w:hint="eastAsia" w:eastAsia="仿宋_GB2312"/>
          <w:color w:val="auto"/>
          <w:sz w:val="32"/>
          <w:szCs w:val="32"/>
          <w:lang w:val="en-US" w:eastAsia="zh-CN"/>
        </w:rPr>
        <w:t>周边植被施肥，不外排</w:t>
      </w:r>
      <w:r>
        <w:rPr>
          <w:rFonts w:hint="eastAsia" w:eastAsia="仿宋_GB2312"/>
          <w:color w:val="auto"/>
          <w:sz w:val="32"/>
          <w:szCs w:val="32"/>
          <w:lang w:eastAsia="zh-CN"/>
        </w:rPr>
        <w:t>。</w:t>
      </w:r>
    </w:p>
    <w:p w14:paraId="66A0FEEF">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eastAsia="zh-CN"/>
        </w:rPr>
        <w:t>项目</w:t>
      </w:r>
      <w:r>
        <w:rPr>
          <w:rFonts w:hint="eastAsia" w:eastAsia="仿宋_GB2312"/>
          <w:color w:val="auto"/>
          <w:sz w:val="32"/>
          <w:szCs w:val="32"/>
          <w:lang w:val="en-US" w:eastAsia="zh-CN"/>
        </w:rPr>
        <w:t>施工</w:t>
      </w:r>
      <w:r>
        <w:rPr>
          <w:rFonts w:hint="eastAsia" w:eastAsia="仿宋_GB2312"/>
          <w:color w:val="auto"/>
          <w:sz w:val="32"/>
          <w:szCs w:val="32"/>
          <w:lang w:eastAsia="zh-CN"/>
        </w:rPr>
        <w:t>过程须采用不添加有毒有害重金属等物质</w:t>
      </w:r>
      <w:r>
        <w:rPr>
          <w:rFonts w:hint="eastAsia" w:eastAsia="仿宋_GB2312"/>
          <w:color w:val="auto"/>
          <w:sz w:val="32"/>
          <w:szCs w:val="32"/>
          <w:lang w:val="en-US" w:eastAsia="zh-CN"/>
        </w:rPr>
        <w:t>的</w:t>
      </w:r>
      <w:r>
        <w:rPr>
          <w:rFonts w:hint="eastAsia" w:eastAsia="仿宋_GB2312"/>
          <w:color w:val="auto"/>
          <w:sz w:val="32"/>
          <w:szCs w:val="32"/>
          <w:lang w:eastAsia="zh-CN"/>
        </w:rPr>
        <w:t>无毒无害</w:t>
      </w:r>
      <w:r>
        <w:rPr>
          <w:rFonts w:hint="eastAsia" w:eastAsia="仿宋_GB2312"/>
          <w:color w:val="auto"/>
          <w:sz w:val="32"/>
          <w:szCs w:val="32"/>
          <w:lang w:val="en-US" w:eastAsia="zh-CN"/>
        </w:rPr>
        <w:t>水基</w:t>
      </w:r>
      <w:r>
        <w:rPr>
          <w:rFonts w:hint="eastAsia" w:eastAsia="仿宋_GB2312"/>
          <w:color w:val="auto"/>
          <w:sz w:val="32"/>
          <w:szCs w:val="32"/>
          <w:lang w:eastAsia="zh-CN"/>
        </w:rPr>
        <w:t>钻井液，</w:t>
      </w:r>
      <w:r>
        <w:rPr>
          <w:rFonts w:hint="eastAsia" w:eastAsia="仿宋_GB2312"/>
          <w:color w:val="auto"/>
          <w:sz w:val="32"/>
          <w:szCs w:val="32"/>
          <w:lang w:val="en-US" w:eastAsia="zh-CN"/>
        </w:rPr>
        <w:t>不得使用油基钻井液，</w:t>
      </w:r>
      <w:r>
        <w:rPr>
          <w:rFonts w:hint="eastAsia" w:eastAsia="仿宋_GB2312"/>
          <w:color w:val="auto"/>
          <w:sz w:val="32"/>
          <w:szCs w:val="32"/>
          <w:lang w:eastAsia="zh-CN"/>
        </w:rPr>
        <w:t>避免对地下水水质造成影响。</w:t>
      </w:r>
    </w:p>
    <w:p w14:paraId="5729961B">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eastAsia="zh-CN"/>
        </w:rPr>
        <w:t>落实各项固体废物污染防治措施，须确保钻井废物不落地、无害化处理。</w:t>
      </w:r>
    </w:p>
    <w:p w14:paraId="078DB2FD">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0" w:leftChars="0" w:firstLine="640" w:firstLineChars="200"/>
        <w:jc w:val="distribute"/>
        <w:textAlignment w:val="auto"/>
        <w:rPr>
          <w:rFonts w:hint="eastAsia" w:eastAsia="仿宋_GB2312"/>
          <w:color w:val="auto"/>
          <w:sz w:val="32"/>
          <w:szCs w:val="32"/>
          <w:lang w:eastAsia="zh-CN"/>
        </w:rPr>
      </w:pPr>
      <w:r>
        <w:rPr>
          <w:rFonts w:hint="eastAsia" w:eastAsia="仿宋_GB2312"/>
          <w:color w:val="auto"/>
          <w:sz w:val="32"/>
          <w:szCs w:val="32"/>
          <w:lang w:val="en-US" w:eastAsia="zh-CN"/>
        </w:rPr>
        <w:t>一般固体废物包含：土石方、</w:t>
      </w:r>
      <w:r>
        <w:rPr>
          <w:rFonts w:hint="eastAsia" w:eastAsia="仿宋_GB2312"/>
          <w:color w:val="auto"/>
          <w:sz w:val="32"/>
          <w:szCs w:val="32"/>
          <w:lang w:eastAsia="zh-CN"/>
        </w:rPr>
        <w:t>钻井岩屑、废弃泥浆、废包装材料、废压裂液</w:t>
      </w:r>
      <w:r>
        <w:rPr>
          <w:rFonts w:hint="eastAsia" w:eastAsia="仿宋_GB2312"/>
          <w:color w:val="auto"/>
          <w:sz w:val="32"/>
          <w:szCs w:val="32"/>
          <w:lang w:val="en-US" w:eastAsia="zh-CN"/>
        </w:rPr>
        <w:t>和生活垃圾等。钻井前期开挖的土石方暂存于表土场，工程结束后用于场地回填；</w:t>
      </w:r>
      <w:r>
        <w:rPr>
          <w:rFonts w:hint="eastAsia" w:eastAsia="仿宋_GB2312"/>
          <w:color w:val="auto"/>
          <w:sz w:val="32"/>
          <w:szCs w:val="32"/>
          <w:lang w:eastAsia="zh-CN"/>
        </w:rPr>
        <w:t>钻井岩屑</w:t>
      </w:r>
      <w:r>
        <w:rPr>
          <w:rFonts w:hint="eastAsia" w:eastAsia="仿宋_GB2312"/>
          <w:color w:val="auto"/>
          <w:sz w:val="32"/>
          <w:szCs w:val="32"/>
          <w:lang w:val="en-US" w:eastAsia="zh-CN"/>
        </w:rPr>
        <w:t>和</w:t>
      </w:r>
      <w:r>
        <w:rPr>
          <w:rFonts w:hint="eastAsia" w:eastAsia="仿宋_GB2312"/>
          <w:color w:val="auto"/>
          <w:sz w:val="32"/>
          <w:szCs w:val="32"/>
          <w:lang w:eastAsia="zh-CN"/>
        </w:rPr>
        <w:t>废弃泥浆</w:t>
      </w:r>
      <w:r>
        <w:rPr>
          <w:rFonts w:hint="eastAsia" w:eastAsia="仿宋_GB2312"/>
          <w:color w:val="auto"/>
          <w:sz w:val="32"/>
          <w:szCs w:val="32"/>
          <w:lang w:val="en-US" w:eastAsia="zh-CN"/>
        </w:rPr>
        <w:t>暂存于岩屑暂存区，完钻后委托制砖厂家进行资源化利用；废包装材料经收集后交由物资公司定期进行回收处理；废压裂液经储备罐收集后定期交由可接纳单位外运处理；职工生活垃圾收集后由环卫部门统一清运处理；一般工业固废集中收集点须</w:t>
      </w:r>
    </w:p>
    <w:p w14:paraId="63C3F6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eastAsia="仿宋_GB2312"/>
          <w:color w:val="auto"/>
          <w:sz w:val="32"/>
          <w:szCs w:val="32"/>
          <w:lang w:eastAsia="zh-CN"/>
        </w:rPr>
      </w:pPr>
      <w:r>
        <w:rPr>
          <w:rFonts w:hint="eastAsia" w:eastAsia="仿宋_GB2312"/>
          <w:color w:val="auto"/>
          <w:sz w:val="32"/>
          <w:szCs w:val="32"/>
          <w:lang w:val="en-US" w:eastAsia="zh-CN"/>
        </w:rPr>
        <w:t>按GB 18599-2020《一般工业固体废物贮存和填埋污染控制标准》中相应标准要求进行建设和管理。</w:t>
      </w:r>
    </w:p>
    <w:p w14:paraId="0811AEF2">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0" w:leftChars="0" w:firstLine="640" w:firstLineChars="200"/>
        <w:jc w:val="distribute"/>
        <w:textAlignment w:val="auto"/>
        <w:rPr>
          <w:rFonts w:hint="eastAsia" w:eastAsia="仿宋_GB2312"/>
          <w:color w:val="auto"/>
          <w:sz w:val="32"/>
          <w:szCs w:val="32"/>
          <w:lang w:eastAsia="zh-CN"/>
        </w:rPr>
      </w:pPr>
      <w:r>
        <w:rPr>
          <w:rFonts w:hint="eastAsia" w:eastAsia="仿宋_GB2312"/>
          <w:color w:val="auto"/>
          <w:sz w:val="32"/>
          <w:szCs w:val="32"/>
          <w:lang w:val="en-US" w:eastAsia="zh-CN"/>
        </w:rPr>
        <w:t>危险废物包含：废机油、含油抹布和废油桶</w:t>
      </w:r>
      <w:r>
        <w:rPr>
          <w:rFonts w:hint="eastAsia" w:eastAsia="仿宋_GB2312"/>
          <w:color w:val="auto"/>
          <w:sz w:val="32"/>
          <w:szCs w:val="32"/>
          <w:lang w:eastAsia="zh-CN"/>
        </w:rPr>
        <w:t>等各类钻井废物，</w:t>
      </w:r>
      <w:r>
        <w:rPr>
          <w:rFonts w:hint="eastAsia" w:eastAsia="仿宋_GB2312"/>
          <w:color w:val="auto"/>
          <w:sz w:val="32"/>
          <w:szCs w:val="32"/>
          <w:lang w:val="en-US" w:eastAsia="zh-CN"/>
        </w:rPr>
        <w:t>危险废物需</w:t>
      </w:r>
      <w:r>
        <w:rPr>
          <w:rFonts w:hint="eastAsia" w:eastAsia="仿宋_GB2312"/>
          <w:color w:val="auto"/>
          <w:sz w:val="32"/>
          <w:szCs w:val="32"/>
          <w:lang w:eastAsia="zh-CN"/>
        </w:rPr>
        <w:t>严格按照HJ</w:t>
      </w:r>
      <w:r>
        <w:rPr>
          <w:rFonts w:hint="eastAsia" w:eastAsia="仿宋_GB2312"/>
          <w:color w:val="auto"/>
          <w:sz w:val="32"/>
          <w:szCs w:val="32"/>
          <w:lang w:val="en-US" w:eastAsia="zh-CN"/>
        </w:rPr>
        <w:t xml:space="preserve"> </w:t>
      </w:r>
      <w:r>
        <w:rPr>
          <w:rFonts w:hint="eastAsia" w:eastAsia="仿宋_GB2312"/>
          <w:color w:val="auto"/>
          <w:sz w:val="32"/>
          <w:szCs w:val="32"/>
          <w:lang w:eastAsia="zh-CN"/>
        </w:rPr>
        <w:t>2025-2012《危险废物收集、贮存、运输技术规范》进行管理和转运，</w:t>
      </w:r>
      <w:r>
        <w:rPr>
          <w:rFonts w:hint="eastAsia" w:eastAsia="仿宋_GB2312"/>
          <w:color w:val="auto"/>
          <w:sz w:val="32"/>
          <w:szCs w:val="32"/>
          <w:lang w:val="en-US" w:eastAsia="zh-CN"/>
        </w:rPr>
        <w:t>危险废物</w:t>
      </w:r>
      <w:r>
        <w:rPr>
          <w:rFonts w:hint="eastAsia" w:eastAsia="仿宋_GB2312"/>
          <w:color w:val="auto"/>
          <w:sz w:val="32"/>
          <w:szCs w:val="32"/>
          <w:lang w:eastAsia="zh-CN"/>
        </w:rPr>
        <w:t>暂存间须</w:t>
      </w:r>
    </w:p>
    <w:p w14:paraId="1957985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eastAsia="仿宋_GB2312"/>
          <w:color w:val="auto"/>
          <w:sz w:val="32"/>
          <w:szCs w:val="32"/>
          <w:lang w:eastAsia="zh-CN"/>
        </w:rPr>
      </w:pPr>
      <w:r>
        <w:rPr>
          <w:rFonts w:hint="eastAsia" w:eastAsia="仿宋_GB2312"/>
          <w:color w:val="auto"/>
          <w:sz w:val="32"/>
          <w:szCs w:val="32"/>
          <w:lang w:eastAsia="zh-CN"/>
        </w:rPr>
        <w:t>按GB</w:t>
      </w:r>
      <w:r>
        <w:rPr>
          <w:rFonts w:hint="eastAsia" w:eastAsia="仿宋_GB2312"/>
          <w:color w:val="auto"/>
          <w:sz w:val="32"/>
          <w:szCs w:val="32"/>
          <w:lang w:val="en-US" w:eastAsia="zh-CN"/>
        </w:rPr>
        <w:t xml:space="preserve"> </w:t>
      </w:r>
      <w:r>
        <w:rPr>
          <w:rFonts w:hint="eastAsia" w:eastAsia="仿宋_GB2312"/>
          <w:color w:val="auto"/>
          <w:sz w:val="32"/>
          <w:szCs w:val="32"/>
          <w:lang w:eastAsia="zh-CN"/>
        </w:rPr>
        <w:t>18597-2023《危险废物贮存污染控制标准》中要求进行建设和管理。</w:t>
      </w:r>
    </w:p>
    <w:p w14:paraId="4BA65FBD">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eastAsia="zh-CN"/>
        </w:rPr>
        <w:t>落实各项噪声污染防治措施。优先选用先进的低噪声设备，合理布置高噪声设备，对</w:t>
      </w:r>
      <w:r>
        <w:rPr>
          <w:rFonts w:hint="eastAsia" w:eastAsia="仿宋_GB2312"/>
          <w:color w:val="auto"/>
          <w:sz w:val="32"/>
          <w:szCs w:val="32"/>
          <w:lang w:val="en-US" w:eastAsia="zh-CN"/>
        </w:rPr>
        <w:t>场</w:t>
      </w:r>
      <w:r>
        <w:rPr>
          <w:rFonts w:hint="eastAsia" w:ascii="Times New Roman" w:hAnsi="Times New Roman" w:eastAsia="仿宋_GB2312" w:cs="Times New Roman"/>
          <w:color w:val="auto"/>
          <w:sz w:val="32"/>
          <w:szCs w:val="32"/>
          <w:lang w:val="en-US" w:eastAsia="zh-CN"/>
        </w:rPr>
        <w:t>区</w:t>
      </w:r>
      <w:r>
        <w:rPr>
          <w:rFonts w:hint="eastAsia" w:ascii="Times New Roman" w:hAnsi="Times New Roman" w:eastAsia="仿宋_GB2312" w:cs="Times New Roman"/>
          <w:color w:val="auto"/>
          <w:sz w:val="32"/>
          <w:szCs w:val="32"/>
          <w:lang w:eastAsia="zh-CN"/>
        </w:rPr>
        <w:t>钻机、风机、绞车、</w:t>
      </w:r>
      <w:r>
        <w:rPr>
          <w:rFonts w:hint="eastAsia" w:ascii="Times New Roman" w:hAnsi="Times New Roman" w:eastAsia="仿宋_GB2312" w:cs="Times New Roman"/>
          <w:color w:val="auto"/>
          <w:sz w:val="32"/>
          <w:szCs w:val="32"/>
          <w:lang w:val="en-US" w:eastAsia="zh-CN"/>
        </w:rPr>
        <w:t>电钻和</w:t>
      </w:r>
      <w:r>
        <w:rPr>
          <w:rFonts w:hint="eastAsia" w:eastAsia="仿宋_GB2312"/>
          <w:color w:val="auto"/>
          <w:sz w:val="32"/>
          <w:szCs w:val="32"/>
          <w:lang w:val="en-US" w:eastAsia="zh-CN"/>
        </w:rPr>
        <w:t>柴油发电机组等</w:t>
      </w:r>
      <w:r>
        <w:rPr>
          <w:rFonts w:hint="eastAsia" w:eastAsia="仿宋_GB2312"/>
          <w:color w:val="auto"/>
          <w:sz w:val="32"/>
          <w:szCs w:val="32"/>
          <w:lang w:eastAsia="zh-CN"/>
        </w:rPr>
        <w:t>主要高噪声设备采取消声、减振、隔音等降噪措施，确保施工期场界噪声满足GB</w:t>
      </w:r>
      <w:r>
        <w:rPr>
          <w:rFonts w:hint="eastAsia" w:eastAsia="仿宋_GB2312"/>
          <w:color w:val="auto"/>
          <w:sz w:val="32"/>
          <w:szCs w:val="32"/>
          <w:lang w:val="en-US" w:eastAsia="zh-CN"/>
        </w:rPr>
        <w:t xml:space="preserve"> </w:t>
      </w:r>
      <w:r>
        <w:rPr>
          <w:rFonts w:hint="eastAsia" w:eastAsia="仿宋_GB2312"/>
          <w:color w:val="auto"/>
          <w:sz w:val="32"/>
          <w:szCs w:val="32"/>
          <w:lang w:eastAsia="zh-CN"/>
        </w:rPr>
        <w:t>12523-2011《建筑施工场界环境噪声排放标准》中</w:t>
      </w:r>
      <w:r>
        <w:rPr>
          <w:rFonts w:hint="eastAsia" w:eastAsia="仿宋_GB2312"/>
          <w:color w:val="auto"/>
          <w:sz w:val="32"/>
          <w:szCs w:val="32"/>
          <w:lang w:val="en-US" w:eastAsia="zh-CN"/>
        </w:rPr>
        <w:t>相应</w:t>
      </w:r>
      <w:r>
        <w:rPr>
          <w:rFonts w:hint="eastAsia" w:eastAsia="仿宋_GB2312"/>
          <w:color w:val="auto"/>
          <w:sz w:val="32"/>
          <w:szCs w:val="32"/>
          <w:lang w:eastAsia="zh-CN"/>
        </w:rPr>
        <w:t>标准限值。</w:t>
      </w:r>
    </w:p>
    <w:p w14:paraId="09A7D28F">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val="en-US" w:eastAsia="zh-CN"/>
        </w:rPr>
        <w:t>项目</w:t>
      </w:r>
      <w:r>
        <w:rPr>
          <w:rFonts w:hint="eastAsia" w:eastAsia="仿宋_GB2312"/>
          <w:color w:val="auto"/>
          <w:sz w:val="32"/>
          <w:szCs w:val="32"/>
          <w:lang w:eastAsia="zh-CN"/>
        </w:rPr>
        <w:t>生态影响及环境保护措施。本项目为</w:t>
      </w:r>
      <w:r>
        <w:rPr>
          <w:rFonts w:hint="eastAsia" w:eastAsia="仿宋_GB2312"/>
          <w:color w:val="auto"/>
          <w:sz w:val="32"/>
          <w:szCs w:val="32"/>
          <w:lang w:val="en-US" w:eastAsia="zh-CN"/>
        </w:rPr>
        <w:t>油气勘探工程</w:t>
      </w:r>
      <w:r>
        <w:rPr>
          <w:rFonts w:hint="eastAsia" w:eastAsia="仿宋_GB2312"/>
          <w:color w:val="auto"/>
          <w:sz w:val="32"/>
          <w:szCs w:val="32"/>
          <w:lang w:eastAsia="zh-CN"/>
        </w:rPr>
        <w:t>，</w:t>
      </w:r>
      <w:r>
        <w:rPr>
          <w:rFonts w:hint="eastAsia" w:eastAsia="仿宋_GB2312"/>
          <w:color w:val="auto"/>
          <w:sz w:val="32"/>
          <w:szCs w:val="32"/>
          <w:lang w:val="en-US" w:eastAsia="zh-CN"/>
        </w:rPr>
        <w:t>场区四周应设置截排水沟，减缓施工造成的水土流失；严格落实《报告表》内涉及地下水、土壤的相关保护防治措施</w:t>
      </w:r>
      <w:r>
        <w:rPr>
          <w:rFonts w:hint="eastAsia" w:eastAsia="仿宋_GB2312"/>
          <w:color w:val="auto"/>
          <w:sz w:val="32"/>
          <w:szCs w:val="32"/>
          <w:lang w:eastAsia="zh-CN"/>
        </w:rPr>
        <w:t>。</w:t>
      </w:r>
    </w:p>
    <w:p w14:paraId="12A6E427">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eastAsia="zh-CN"/>
        </w:rPr>
        <w:t>按分区防渗原则落实各项防渗措施。须对</w:t>
      </w:r>
      <w:r>
        <w:rPr>
          <w:rFonts w:hint="eastAsia" w:eastAsia="仿宋_GB2312"/>
          <w:color w:val="auto"/>
          <w:sz w:val="32"/>
          <w:szCs w:val="32"/>
          <w:lang w:val="en-US" w:eastAsia="zh-CN"/>
        </w:rPr>
        <w:t>危险废物暂存间</w:t>
      </w:r>
      <w:r>
        <w:rPr>
          <w:rFonts w:hint="eastAsia" w:eastAsia="仿宋_GB2312"/>
          <w:color w:val="auto"/>
          <w:sz w:val="32"/>
          <w:szCs w:val="32"/>
          <w:lang w:eastAsia="zh-CN"/>
        </w:rPr>
        <w:t>等区域按要求做好重点防渗处理；对方井、钻井基础区域、放喷池、油罐区、发电机房基础和循环罐区、污水池、水基岩屑储存区、清洁化操作平台、井场平台、清污分流区域等区域按要求做好一般防渗处理；对厂区其他用地等区域按要求做好简单防渗处理。</w:t>
      </w:r>
    </w:p>
    <w:p w14:paraId="008AAA90">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hint="eastAsia" w:eastAsia="仿宋_GB2312"/>
          <w:color w:val="auto"/>
          <w:sz w:val="32"/>
          <w:szCs w:val="32"/>
          <w:lang w:eastAsia="zh-CN"/>
        </w:rPr>
      </w:pPr>
      <w:r>
        <w:rPr>
          <w:rFonts w:hint="eastAsia" w:eastAsia="仿宋_GB2312"/>
          <w:color w:val="auto"/>
          <w:sz w:val="32"/>
          <w:szCs w:val="32"/>
          <w:lang w:eastAsia="zh-CN"/>
        </w:rPr>
        <w:t>加强环境管理，落实环境保护规章制度。确保环保措施的正常运转以及各项污染物稳定达标排放。要落实和开展《报告表》提出的污染源监测和环境质量监测计划，监测结果要及时向社会公开。</w:t>
      </w:r>
    </w:p>
    <w:p w14:paraId="4BB121F6">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20" w:firstLineChars="0"/>
        <w:textAlignment w:val="auto"/>
        <w:rPr>
          <w:rFonts w:eastAsia="仿宋_GB2312"/>
          <w:color w:val="auto"/>
          <w:sz w:val="32"/>
          <w:szCs w:val="32"/>
        </w:rPr>
      </w:pPr>
      <w:r>
        <w:rPr>
          <w:rFonts w:hint="eastAsia" w:eastAsia="仿宋_GB2312"/>
          <w:color w:val="auto"/>
          <w:sz w:val="32"/>
          <w:szCs w:val="32"/>
          <w:lang w:eastAsia="zh-CN"/>
        </w:rPr>
        <w:t>按照《关于印发〈企业事业单位突发环境事件应急预案备案管理办法（试行）〉的通知》（环发〔2015〕4号）等相关要求制订应急预案，按相关要求修订污染事故突发事件应急预案，并更新备案信息和材料。按照《突发环境事件应急管理办法（试行）（环境保护部第34号）、《企业突发环境事件隐患排查和治理工作指南（试行）》（环境保护部公告2016年第74号）相关要求，制定环境安全隐患排查治理制度，建立隐患排查治理档案，定期进行应急演练。合理选址选线，在项目开展前应进行详尽的地质勘探工作；在油罐区周围设置足够容量的应急围堰</w:t>
      </w:r>
      <w:r>
        <w:rPr>
          <w:rFonts w:hint="eastAsia" w:eastAsia="仿宋_GB2312"/>
          <w:color w:val="auto"/>
          <w:sz w:val="32"/>
          <w:szCs w:val="32"/>
          <w:lang w:val="en-US" w:eastAsia="zh-CN"/>
        </w:rPr>
        <w:t>和收油沟</w:t>
      </w:r>
      <w:r>
        <w:rPr>
          <w:rFonts w:hint="eastAsia" w:eastAsia="仿宋_GB2312"/>
          <w:color w:val="auto"/>
          <w:sz w:val="32"/>
          <w:szCs w:val="32"/>
          <w:lang w:eastAsia="zh-CN"/>
        </w:rPr>
        <w:t>并做好相应的防渗措施；对各废水池体采取防渗措施并预留足够的应急容量（应对暴雨天气），落实相关环境风险防控措施。</w:t>
      </w:r>
    </w:p>
    <w:p w14:paraId="2C3A81B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color w:val="auto"/>
          <w:sz w:val="32"/>
          <w:szCs w:val="32"/>
        </w:rPr>
      </w:pPr>
      <w:r>
        <w:rPr>
          <w:rFonts w:hint="eastAsia" w:eastAsia="仿宋_GB2312" w:cs="仿宋_GB2312"/>
          <w:color w:val="auto"/>
          <w:sz w:val="32"/>
          <w:szCs w:val="32"/>
        </w:rPr>
        <w:t>三、该项目建设必须严格执行环境保护设施与主体工程同时设计、同时施工、同时投产使用的环境保护“三同时”制度，并依法申请排污许可证。在落实本批复和《报告表》提出的各项环境保护措施和要求后，建设单位可自行决定投入调试的具体时间并以书面形式向当地生态环境主管部门备案。调试生产前，建设单位应按国家和自治区有关规定对排污许可证进行申报工作。工程建成后，须按《建设项目竣工环境保护验收暂行办法》（国环规环评〔2017〕4号）要求实施竣工环境保护验收。未落实本批复和《报告表》提出的各项环境保护措施、未取得排污许可证擅自投入调试生产、未经竣工环境验收擅自投入生产的、未向社会公开有关信息的，应承担相应的法律责任。</w:t>
      </w:r>
    </w:p>
    <w:p w14:paraId="6B4F300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color w:val="auto"/>
          <w:sz w:val="32"/>
          <w:szCs w:val="32"/>
        </w:rPr>
      </w:pPr>
      <w:r>
        <w:rPr>
          <w:rFonts w:hint="eastAsia" w:eastAsia="仿宋_GB2312" w:cs="仿宋_GB2312"/>
          <w:color w:val="auto"/>
          <w:sz w:val="32"/>
          <w:szCs w:val="32"/>
        </w:rPr>
        <w:t>四、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报我局重新审核同意后方可建设。</w:t>
      </w:r>
    </w:p>
    <w:p w14:paraId="412AA8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color w:val="auto"/>
          <w:sz w:val="32"/>
          <w:szCs w:val="32"/>
        </w:rPr>
      </w:pPr>
      <w:r>
        <w:rPr>
          <w:rFonts w:hint="eastAsia" w:eastAsia="仿宋_GB2312" w:cs="仿宋_GB2312"/>
          <w:color w:val="auto"/>
          <w:sz w:val="32"/>
          <w:szCs w:val="32"/>
        </w:rPr>
        <w:t>五、建设单位自收到本批复之日起5个工作日内，将批复文件及批准后的《报告表》（报批稿）送达柳州市柳城生态环境局，并按规定接受辖区生态环境部门的监管检查。</w:t>
      </w:r>
    </w:p>
    <w:p w14:paraId="3B2D133F">
      <w:pPr>
        <w:spacing w:line="520" w:lineRule="exact"/>
        <w:ind w:firstLine="640" w:firstLineChars="200"/>
        <w:rPr>
          <w:rFonts w:eastAsia="仿宋_GB2312" w:cs="仿宋_GB2312"/>
          <w:color w:val="auto"/>
          <w:sz w:val="32"/>
          <w:szCs w:val="32"/>
        </w:rPr>
      </w:pPr>
    </w:p>
    <w:p w14:paraId="4EF836A7">
      <w:pPr>
        <w:spacing w:line="520" w:lineRule="exact"/>
        <w:ind w:firstLine="640" w:firstLineChars="200"/>
        <w:rPr>
          <w:rFonts w:eastAsia="仿宋_GB2312" w:cs="仿宋_GB2312"/>
          <w:color w:val="auto"/>
          <w:sz w:val="32"/>
          <w:szCs w:val="32"/>
        </w:rPr>
      </w:pPr>
    </w:p>
    <w:p w14:paraId="211F9BB2">
      <w:pPr>
        <w:spacing w:line="520" w:lineRule="exact"/>
        <w:ind w:firstLine="640" w:firstLineChars="200"/>
        <w:rPr>
          <w:rFonts w:hint="eastAsia" w:eastAsia="仿宋_GB2312" w:cs="仿宋_GB2312"/>
          <w:color w:val="auto"/>
          <w:sz w:val="32"/>
          <w:szCs w:val="32"/>
        </w:rPr>
      </w:pPr>
    </w:p>
    <w:p w14:paraId="1ED71940">
      <w:pPr>
        <w:spacing w:line="520" w:lineRule="exact"/>
        <w:jc w:val="right"/>
        <w:rPr>
          <w:rFonts w:eastAsia="仿宋_GB2312" w:cs="仿宋_GB2312"/>
          <w:color w:val="auto"/>
          <w:sz w:val="32"/>
          <w:szCs w:val="32"/>
        </w:rPr>
      </w:pPr>
      <w:r>
        <w:rPr>
          <w:rFonts w:hint="eastAsia" w:eastAsia="仿宋_GB2312" w:cs="仿宋_GB2312"/>
          <w:color w:val="auto"/>
          <w:sz w:val="32"/>
          <w:szCs w:val="32"/>
        </w:rPr>
        <w:t>2025年8月2</w:t>
      </w:r>
      <w:r>
        <w:rPr>
          <w:rFonts w:hint="eastAsia" w:eastAsia="仿宋_GB2312" w:cs="仿宋_GB2312"/>
          <w:color w:val="auto"/>
          <w:sz w:val="32"/>
          <w:szCs w:val="32"/>
          <w:lang w:val="en-US" w:eastAsia="zh-CN"/>
        </w:rPr>
        <w:t>8</w:t>
      </w:r>
      <w:r>
        <w:rPr>
          <w:rFonts w:hint="eastAsia" w:eastAsia="仿宋_GB2312" w:cs="仿宋_GB2312"/>
          <w:color w:val="auto"/>
          <w:sz w:val="32"/>
          <w:szCs w:val="32"/>
        </w:rPr>
        <w:t>日</w:t>
      </w:r>
    </w:p>
    <w:p w14:paraId="320CCECF">
      <w:pPr>
        <w:spacing w:line="520" w:lineRule="exact"/>
        <w:jc w:val="right"/>
        <w:rPr>
          <w:rFonts w:eastAsia="仿宋_GB2312" w:cs="仿宋_GB2312"/>
          <w:color w:val="auto"/>
          <w:sz w:val="32"/>
          <w:szCs w:val="32"/>
        </w:rPr>
      </w:pPr>
    </w:p>
    <w:p w14:paraId="07FB9056">
      <w:pPr>
        <w:pStyle w:val="37"/>
        <w:spacing w:beforeLines="0" w:line="520" w:lineRule="exact"/>
        <w:ind w:right="0" w:rightChars="0" w:firstLine="640"/>
        <w:jc w:val="both"/>
        <w:rPr>
          <w:rFonts w:ascii="Times New Roman" w:hAnsi="Times New Roman" w:eastAsia="仿宋_GB2312" w:cs="仿宋_GB2312"/>
          <w:color w:val="auto"/>
        </w:rPr>
      </w:pPr>
      <w:r>
        <w:rPr>
          <w:rFonts w:hint="eastAsia" w:ascii="Times New Roman" w:hAnsi="Times New Roman" w:eastAsia="仿宋_GB2312" w:cs="仿宋_GB2312"/>
          <w:color w:val="auto"/>
        </w:rPr>
        <w:t>（此件公开发布）</w:t>
      </w:r>
    </w:p>
    <w:p w14:paraId="73E51483">
      <w:pPr>
        <w:pStyle w:val="37"/>
        <w:spacing w:beforeLines="0" w:line="240" w:lineRule="auto"/>
        <w:ind w:right="0" w:rightChars="0" w:firstLine="640"/>
        <w:jc w:val="both"/>
        <w:rPr>
          <w:rFonts w:ascii="Times New Roman" w:hAnsi="Times New Roman" w:eastAsia="仿宋_GB2312" w:cs="仿宋_GB2312"/>
          <w:color w:val="auto"/>
        </w:rPr>
      </w:pPr>
    </w:p>
    <w:p w14:paraId="1984DB22">
      <w:pPr>
        <w:pStyle w:val="37"/>
        <w:spacing w:beforeLines="0" w:line="240" w:lineRule="auto"/>
        <w:ind w:right="0" w:rightChars="0" w:firstLine="640"/>
        <w:jc w:val="both"/>
        <w:rPr>
          <w:rFonts w:ascii="Times New Roman" w:hAnsi="Times New Roman" w:eastAsia="仿宋_GB2312" w:cs="仿宋_GB2312"/>
          <w:color w:val="auto"/>
        </w:rPr>
      </w:pPr>
    </w:p>
    <w:p w14:paraId="6C1534BD">
      <w:pPr>
        <w:pStyle w:val="37"/>
        <w:spacing w:beforeLines="0" w:line="240" w:lineRule="auto"/>
        <w:ind w:right="0" w:rightChars="0" w:firstLine="640"/>
        <w:jc w:val="both"/>
        <w:rPr>
          <w:rFonts w:ascii="Times New Roman" w:hAnsi="Times New Roman" w:eastAsia="仿宋_GB2312" w:cs="仿宋_GB2312"/>
          <w:color w:val="auto"/>
        </w:rPr>
      </w:pPr>
    </w:p>
    <w:p w14:paraId="0780BA28">
      <w:pPr>
        <w:pStyle w:val="37"/>
        <w:spacing w:beforeLines="0" w:line="240" w:lineRule="auto"/>
        <w:ind w:right="0" w:rightChars="0" w:firstLine="640"/>
        <w:jc w:val="both"/>
        <w:rPr>
          <w:rFonts w:ascii="Times New Roman" w:hAnsi="Times New Roman" w:eastAsia="仿宋_GB2312" w:cs="仿宋_GB2312"/>
          <w:color w:val="auto"/>
        </w:rPr>
      </w:pPr>
    </w:p>
    <w:p w14:paraId="495C0DCD">
      <w:pPr>
        <w:pStyle w:val="37"/>
        <w:spacing w:beforeLines="0" w:line="240" w:lineRule="auto"/>
        <w:ind w:right="0" w:rightChars="0" w:firstLine="640"/>
        <w:jc w:val="both"/>
        <w:rPr>
          <w:rFonts w:ascii="Times New Roman" w:hAnsi="Times New Roman" w:eastAsia="仿宋_GB2312" w:cs="仿宋_GB2312"/>
          <w:color w:val="auto"/>
        </w:rPr>
      </w:pPr>
    </w:p>
    <w:p w14:paraId="23649BEE">
      <w:pPr>
        <w:spacing w:line="480" w:lineRule="exact"/>
        <w:jc w:val="distribute"/>
        <w:rPr>
          <w:rFonts w:eastAsia="仿宋_GB2312" w:cs="仿宋_GB2312"/>
          <w:bCs/>
          <w:color w:val="auto"/>
          <w:sz w:val="28"/>
          <w:szCs w:val="28"/>
          <w:u w:val="single"/>
        </w:rPr>
      </w:pPr>
      <w:r>
        <w:rPr>
          <w:rFonts w:hint="eastAsia" w:eastAsia="仿宋_GB2312" w:cs="仿宋_GB2312"/>
          <w:bCs/>
          <w:color w:val="auto"/>
          <w:sz w:val="28"/>
          <w:szCs w:val="28"/>
          <w:u w:val="single"/>
        </w:rPr>
        <w:t>投资项目在线审批监管平台项目代码：2501-450222-04-01-654505</w:t>
      </w:r>
    </w:p>
    <w:p w14:paraId="10E68079">
      <w:pPr>
        <w:spacing w:line="480" w:lineRule="exact"/>
        <w:rPr>
          <w:rFonts w:eastAsia="仿宋_GB2312" w:cs="仿宋_GB2312"/>
          <w:color w:val="auto"/>
          <w:sz w:val="30"/>
          <w:u w:val="single"/>
        </w:rPr>
      </w:pPr>
      <w:r>
        <w:rPr>
          <w:rFonts w:hint="eastAsia" w:eastAsia="仿宋_GB2312" w:cs="仿宋_GB2312"/>
          <w:color w:val="auto"/>
          <w:sz w:val="32"/>
          <w:szCs w:val="32"/>
          <w:u w:val="single"/>
        </w:rPr>
        <w:t xml:space="preserve">抄送:柳州市柳城生态环境局                               </w:t>
      </w:r>
    </w:p>
    <w:p w14:paraId="0E421231">
      <w:pPr>
        <w:pStyle w:val="36"/>
        <w:ind w:firstLine="0" w:firstLineChars="0"/>
        <w:rPr>
          <w:rFonts w:hint="eastAsia" w:ascii="仿宋_GB2312" w:hAnsi="仿宋_GB2312" w:eastAsia="仿宋_GB2312" w:cs="仿宋_GB2312"/>
          <w:color w:val="000000"/>
          <w:u w:val="single"/>
        </w:rPr>
      </w:pPr>
      <w:r>
        <w:rPr>
          <w:rFonts w:hint="eastAsia" w:eastAsia="仿宋_GB2312" w:cs="仿宋_GB2312"/>
          <w:color w:val="auto"/>
          <w:u w:val="single"/>
        </w:rPr>
        <w:t>柳城县行政审批局                    2025年8月2</w:t>
      </w:r>
      <w:r>
        <w:rPr>
          <w:rFonts w:hint="eastAsia" w:eastAsia="仿宋_GB2312" w:cs="仿宋_GB2312"/>
          <w:color w:val="auto"/>
          <w:u w:val="single"/>
          <w:lang w:val="en-US" w:eastAsia="zh-CN"/>
        </w:rPr>
        <w:t>8</w:t>
      </w:r>
      <w:r>
        <w:rPr>
          <w:rFonts w:hint="eastAsia" w:eastAsia="仿宋_GB2312" w:cs="仿宋_GB2312"/>
          <w:color w:val="auto"/>
          <w:u w:val="single"/>
        </w:rPr>
        <w:t>日印发</w:t>
      </w:r>
    </w:p>
    <w:sectPr>
      <w:headerReference r:id="rId3" w:type="default"/>
      <w:footerReference r:id="rId4" w:type="default"/>
      <w:footerReference r:id="rId5"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E2C07">
    <w:pPr>
      <w:pStyle w:val="11"/>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1</w:t>
    </w:r>
    <w:r>
      <w:rPr>
        <w:sz w:val="32"/>
        <w:szCs w:val="32"/>
        <w:lang w:val="zh-CN"/>
      </w:rPr>
      <w:fldChar w:fldCharType="end"/>
    </w:r>
  </w:p>
  <w:p w14:paraId="3167E61B">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D47AA">
    <w:pPr>
      <w:pStyle w:val="11"/>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6</w:t>
    </w:r>
    <w:r>
      <w:rPr>
        <w:sz w:val="32"/>
        <w:szCs w:val="32"/>
        <w:lang w:val="zh-CN"/>
      </w:rPr>
      <w:fldChar w:fldCharType="end"/>
    </w:r>
  </w:p>
  <w:p w14:paraId="1D42424F">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10E48">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8A66A4"/>
    <w:multiLevelType w:val="singleLevel"/>
    <w:tmpl w:val="958A66A4"/>
    <w:lvl w:ilvl="0" w:tentative="0">
      <w:start w:val="1"/>
      <w:numFmt w:val="chineseCounting"/>
      <w:suff w:val="nothing"/>
      <w:lvlText w:val="%1、"/>
      <w:lvlJc w:val="left"/>
      <w:rPr>
        <w:rFonts w:hint="eastAsia"/>
      </w:rPr>
    </w:lvl>
  </w:abstractNum>
  <w:abstractNum w:abstractNumId="1">
    <w:nsid w:val="4863B428"/>
    <w:multiLevelType w:val="singleLevel"/>
    <w:tmpl w:val="4863B428"/>
    <w:lvl w:ilvl="0" w:tentative="0">
      <w:start w:val="1"/>
      <w:numFmt w:val="chineseCounting"/>
      <w:suff w:val="nothing"/>
      <w:lvlText w:val="（%1）"/>
      <w:lvlJc w:val="left"/>
      <w:pPr>
        <w:ind w:left="0" w:firstLine="420"/>
      </w:pPr>
      <w:rPr>
        <w:rFonts w:hint="eastAsia"/>
      </w:rPr>
    </w:lvl>
  </w:abstractNum>
  <w:abstractNum w:abstractNumId="2">
    <w:nsid w:val="5BDD5741"/>
    <w:multiLevelType w:val="singleLevel"/>
    <w:tmpl w:val="5BDD5741"/>
    <w:lvl w:ilvl="0" w:tentative="0">
      <w:start w:val="1"/>
      <w:numFmt w:val="decimal"/>
      <w:suff w:val="nothing"/>
      <w:lvlText w:val="%1."/>
      <w:lvlJc w:val="left"/>
      <w:pPr>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NhNDg1MTYwMjY5ZWFjMzhlZmRhZTkzZTY4NzdiMzgifQ=="/>
  </w:docVars>
  <w:rsids>
    <w:rsidRoot w:val="00172A27"/>
    <w:rsid w:val="00172A27"/>
    <w:rsid w:val="001922CC"/>
    <w:rsid w:val="00206813"/>
    <w:rsid w:val="002417E1"/>
    <w:rsid w:val="00253209"/>
    <w:rsid w:val="00255C08"/>
    <w:rsid w:val="002B7117"/>
    <w:rsid w:val="002D0108"/>
    <w:rsid w:val="00395B51"/>
    <w:rsid w:val="003A481E"/>
    <w:rsid w:val="004242F2"/>
    <w:rsid w:val="0051438B"/>
    <w:rsid w:val="00597D86"/>
    <w:rsid w:val="005C1AC5"/>
    <w:rsid w:val="005D2033"/>
    <w:rsid w:val="005F72A2"/>
    <w:rsid w:val="00646AD1"/>
    <w:rsid w:val="00663F54"/>
    <w:rsid w:val="007315F5"/>
    <w:rsid w:val="00770B2A"/>
    <w:rsid w:val="009269D4"/>
    <w:rsid w:val="00944E16"/>
    <w:rsid w:val="00960977"/>
    <w:rsid w:val="009B040C"/>
    <w:rsid w:val="009E0E3B"/>
    <w:rsid w:val="009F57AD"/>
    <w:rsid w:val="00A0752C"/>
    <w:rsid w:val="00A333F8"/>
    <w:rsid w:val="00AC411B"/>
    <w:rsid w:val="00B051A8"/>
    <w:rsid w:val="00B202D5"/>
    <w:rsid w:val="00C9691E"/>
    <w:rsid w:val="00D078E4"/>
    <w:rsid w:val="00D1559E"/>
    <w:rsid w:val="00D5739D"/>
    <w:rsid w:val="00D760D3"/>
    <w:rsid w:val="00DC161A"/>
    <w:rsid w:val="00E55FCE"/>
    <w:rsid w:val="00FC2277"/>
    <w:rsid w:val="00FD1BB8"/>
    <w:rsid w:val="012515C4"/>
    <w:rsid w:val="01EE7C08"/>
    <w:rsid w:val="0252066A"/>
    <w:rsid w:val="02E371E7"/>
    <w:rsid w:val="03B70064"/>
    <w:rsid w:val="04311444"/>
    <w:rsid w:val="049F2426"/>
    <w:rsid w:val="05E05A25"/>
    <w:rsid w:val="06053772"/>
    <w:rsid w:val="07012F98"/>
    <w:rsid w:val="077A3D48"/>
    <w:rsid w:val="086E3851"/>
    <w:rsid w:val="095A6639"/>
    <w:rsid w:val="0A410022"/>
    <w:rsid w:val="0A4D58DB"/>
    <w:rsid w:val="0A562A0F"/>
    <w:rsid w:val="0B5A4560"/>
    <w:rsid w:val="0CA74451"/>
    <w:rsid w:val="0CCC4FEA"/>
    <w:rsid w:val="0E7A1DC9"/>
    <w:rsid w:val="0EE77EB9"/>
    <w:rsid w:val="0F3C2D50"/>
    <w:rsid w:val="0FFA73AA"/>
    <w:rsid w:val="10D00A20"/>
    <w:rsid w:val="118218DF"/>
    <w:rsid w:val="12AA36D7"/>
    <w:rsid w:val="13BD0334"/>
    <w:rsid w:val="14C20BA7"/>
    <w:rsid w:val="14CC4A81"/>
    <w:rsid w:val="1546136E"/>
    <w:rsid w:val="155D4BD3"/>
    <w:rsid w:val="156839A2"/>
    <w:rsid w:val="16290DB7"/>
    <w:rsid w:val="18B0569B"/>
    <w:rsid w:val="192B21BE"/>
    <w:rsid w:val="1E056F6B"/>
    <w:rsid w:val="1E4E7B4F"/>
    <w:rsid w:val="1E641526"/>
    <w:rsid w:val="20012DA5"/>
    <w:rsid w:val="21F661EB"/>
    <w:rsid w:val="22240594"/>
    <w:rsid w:val="22F555B9"/>
    <w:rsid w:val="246C599D"/>
    <w:rsid w:val="247C6E9E"/>
    <w:rsid w:val="24C0692C"/>
    <w:rsid w:val="24D44515"/>
    <w:rsid w:val="25162BFA"/>
    <w:rsid w:val="27F21951"/>
    <w:rsid w:val="28DC5364"/>
    <w:rsid w:val="29EE7EF6"/>
    <w:rsid w:val="2BEC3A4A"/>
    <w:rsid w:val="2C5C383D"/>
    <w:rsid w:val="2C641C43"/>
    <w:rsid w:val="2E640B83"/>
    <w:rsid w:val="2E82647A"/>
    <w:rsid w:val="2EA210B7"/>
    <w:rsid w:val="2ED87595"/>
    <w:rsid w:val="321F6D79"/>
    <w:rsid w:val="322F37A1"/>
    <w:rsid w:val="340071A3"/>
    <w:rsid w:val="347033B1"/>
    <w:rsid w:val="362514DE"/>
    <w:rsid w:val="37FD6B8A"/>
    <w:rsid w:val="38E0334C"/>
    <w:rsid w:val="39B95C9C"/>
    <w:rsid w:val="3B0D21A6"/>
    <w:rsid w:val="3B4B3979"/>
    <w:rsid w:val="3B844B5E"/>
    <w:rsid w:val="3C29347A"/>
    <w:rsid w:val="3C356139"/>
    <w:rsid w:val="3E4A42A2"/>
    <w:rsid w:val="3E793E15"/>
    <w:rsid w:val="40D35433"/>
    <w:rsid w:val="42CD0DF5"/>
    <w:rsid w:val="43000F6E"/>
    <w:rsid w:val="43301127"/>
    <w:rsid w:val="43810201"/>
    <w:rsid w:val="438D657A"/>
    <w:rsid w:val="43FE2FD4"/>
    <w:rsid w:val="44056A46"/>
    <w:rsid w:val="4491418D"/>
    <w:rsid w:val="44AF6A91"/>
    <w:rsid w:val="457E617A"/>
    <w:rsid w:val="45A21C32"/>
    <w:rsid w:val="46DC7073"/>
    <w:rsid w:val="4715312D"/>
    <w:rsid w:val="477E5958"/>
    <w:rsid w:val="480F6AC9"/>
    <w:rsid w:val="4B6866B6"/>
    <w:rsid w:val="4C9469A0"/>
    <w:rsid w:val="4F0022F6"/>
    <w:rsid w:val="4FEA6A3C"/>
    <w:rsid w:val="500E27F0"/>
    <w:rsid w:val="50D61560"/>
    <w:rsid w:val="51131FD5"/>
    <w:rsid w:val="52803030"/>
    <w:rsid w:val="530473CA"/>
    <w:rsid w:val="535B5D4C"/>
    <w:rsid w:val="54C06C72"/>
    <w:rsid w:val="551E5CEB"/>
    <w:rsid w:val="55284354"/>
    <w:rsid w:val="556E15B6"/>
    <w:rsid w:val="564C1AF9"/>
    <w:rsid w:val="56521D3A"/>
    <w:rsid w:val="57867037"/>
    <w:rsid w:val="57F9079B"/>
    <w:rsid w:val="5A1F7AD4"/>
    <w:rsid w:val="5C252174"/>
    <w:rsid w:val="5DDA50E2"/>
    <w:rsid w:val="5E1C32D0"/>
    <w:rsid w:val="60275934"/>
    <w:rsid w:val="6145156F"/>
    <w:rsid w:val="619D39D4"/>
    <w:rsid w:val="643407A7"/>
    <w:rsid w:val="655A7348"/>
    <w:rsid w:val="66243797"/>
    <w:rsid w:val="691E364C"/>
    <w:rsid w:val="69A006B2"/>
    <w:rsid w:val="6A044068"/>
    <w:rsid w:val="6AD14E1A"/>
    <w:rsid w:val="6B453112"/>
    <w:rsid w:val="6C832144"/>
    <w:rsid w:val="6CDD66BA"/>
    <w:rsid w:val="6D3F29A4"/>
    <w:rsid w:val="6D4019ED"/>
    <w:rsid w:val="6E6C6C08"/>
    <w:rsid w:val="6F524050"/>
    <w:rsid w:val="6F800BBD"/>
    <w:rsid w:val="721937C4"/>
    <w:rsid w:val="72BD5C84"/>
    <w:rsid w:val="73816CB2"/>
    <w:rsid w:val="740B2A1F"/>
    <w:rsid w:val="7577622B"/>
    <w:rsid w:val="76084922"/>
    <w:rsid w:val="778F2824"/>
    <w:rsid w:val="78253688"/>
    <w:rsid w:val="797C1F3C"/>
    <w:rsid w:val="79B3410A"/>
    <w:rsid w:val="7B62386D"/>
    <w:rsid w:val="7B7B048A"/>
    <w:rsid w:val="7BC542E8"/>
    <w:rsid w:val="7C6F0119"/>
    <w:rsid w:val="7CB7465C"/>
    <w:rsid w:val="7CF95B0B"/>
    <w:rsid w:val="7E1D651F"/>
    <w:rsid w:val="7E6148BD"/>
    <w:rsid w:val="7F651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0" w:name="heading 2"/>
    <w:lsdException w:qFormat="1" w:uiPriority="0" w:name="heading 3"/>
    <w:lsdException w:qFormat="1" w:unhideWhenUsed="0" w:uiPriority="0" w:semiHidden="0" w:name="heading 4"/>
    <w:lsdException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0"/>
    <w:pPr>
      <w:keepNext/>
      <w:keepLines/>
      <w:spacing w:before="340" w:after="330" w:line="578" w:lineRule="auto"/>
    </w:pPr>
    <w:rPr>
      <w:b w:val="0"/>
      <w:bCs w:val="0"/>
      <w:kern w:val="44"/>
      <w:sz w:val="44"/>
      <w:szCs w:val="44"/>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7">
    <w:name w:val="Default Paragraph Font"/>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30" w:after="340"/>
      <w:jc w:val="center"/>
      <w:outlineLvl w:val="0"/>
    </w:pPr>
    <w:rPr>
      <w:b/>
      <w:bCs/>
      <w:sz w:val="32"/>
      <w:szCs w:val="32"/>
    </w:rPr>
  </w:style>
  <w:style w:type="paragraph" w:styleId="5">
    <w:name w:val="Normal Indent"/>
    <w:basedOn w:val="1"/>
    <w:next w:val="4"/>
    <w:qFormat/>
    <w:uiPriority w:val="0"/>
    <w:pPr>
      <w:spacing w:line="360" w:lineRule="auto"/>
      <w:ind w:firstLine="420" w:firstLineChars="200"/>
    </w:pPr>
    <w:rPr>
      <w:sz w:val="24"/>
    </w:rPr>
  </w:style>
  <w:style w:type="paragraph" w:styleId="6">
    <w:name w:val="annotation text"/>
    <w:basedOn w:val="1"/>
    <w:link w:val="51"/>
    <w:qFormat/>
    <w:uiPriority w:val="0"/>
    <w:pPr>
      <w:jc w:val="left"/>
    </w:pPr>
  </w:style>
  <w:style w:type="paragraph" w:styleId="7">
    <w:name w:val="Body Text"/>
    <w:basedOn w:val="1"/>
    <w:link w:val="42"/>
    <w:qFormat/>
    <w:uiPriority w:val="0"/>
    <w:rPr>
      <w:b/>
      <w:sz w:val="32"/>
      <w:szCs w:val="20"/>
    </w:rPr>
  </w:style>
  <w:style w:type="paragraph" w:styleId="8">
    <w:name w:val="Body Text Indent"/>
    <w:basedOn w:val="1"/>
    <w:qFormat/>
    <w:uiPriority w:val="0"/>
    <w:pPr>
      <w:spacing w:after="120"/>
      <w:ind w:left="420" w:leftChars="200"/>
    </w:pPr>
  </w:style>
  <w:style w:type="paragraph" w:styleId="9">
    <w:name w:val="Date"/>
    <w:basedOn w:val="1"/>
    <w:next w:val="1"/>
    <w:link w:val="41"/>
    <w:qFormat/>
    <w:uiPriority w:val="0"/>
    <w:pPr>
      <w:ind w:left="100" w:leftChars="2500"/>
    </w:pPr>
  </w:style>
  <w:style w:type="paragraph" w:styleId="10">
    <w:name w:val="Balloon Text"/>
    <w:basedOn w:val="1"/>
    <w:link w:val="53"/>
    <w:qFormat/>
    <w:uiPriority w:val="0"/>
    <w:rPr>
      <w:sz w:val="18"/>
      <w:szCs w:val="18"/>
    </w:rPr>
  </w:style>
  <w:style w:type="paragraph" w:styleId="11">
    <w:name w:val="footer"/>
    <w:basedOn w:val="1"/>
    <w:link w:val="39"/>
    <w:qFormat/>
    <w:uiPriority w:val="99"/>
    <w:pPr>
      <w:tabs>
        <w:tab w:val="center" w:pos="4153"/>
        <w:tab w:val="right" w:pos="8306"/>
      </w:tabs>
      <w:snapToGrid w:val="0"/>
      <w:jc w:val="left"/>
    </w:pPr>
    <w:rPr>
      <w:sz w:val="18"/>
      <w:szCs w:val="18"/>
    </w:rPr>
  </w:style>
  <w:style w:type="paragraph" w:styleId="1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2"/>
    <w:basedOn w:val="1"/>
    <w:link w:val="45"/>
    <w:qFormat/>
    <w:uiPriority w:val="0"/>
    <w:pPr>
      <w:spacing w:line="600" w:lineRule="exact"/>
      <w:jc w:val="center"/>
    </w:pPr>
    <w:rPr>
      <w:rFonts w:ascii="方正小标宋简体" w:eastAsia="方正小标宋简体"/>
      <w:bCs/>
      <w:sz w:val="44"/>
      <w:szCs w:val="44"/>
    </w:rPr>
  </w:style>
  <w:style w:type="paragraph" w:styleId="14">
    <w:name w:val="annotation subject"/>
    <w:basedOn w:val="6"/>
    <w:next w:val="6"/>
    <w:link w:val="52"/>
    <w:qFormat/>
    <w:uiPriority w:val="0"/>
    <w:rPr>
      <w:b/>
      <w:bCs/>
    </w:rPr>
  </w:style>
  <w:style w:type="paragraph" w:styleId="15">
    <w:name w:val="Body Text First Indent 2"/>
    <w:basedOn w:val="8"/>
    <w:next w:val="1"/>
    <w:qFormat/>
    <w:uiPriority w:val="0"/>
    <w:pPr>
      <w:ind w:firstLine="420" w:firstLineChars="200"/>
    </w:pPr>
  </w:style>
  <w:style w:type="character" w:styleId="18">
    <w:name w:val="page number"/>
    <w:basedOn w:val="17"/>
    <w:qFormat/>
    <w:uiPriority w:val="0"/>
  </w:style>
  <w:style w:type="character" w:styleId="19">
    <w:name w:val="Hyperlink"/>
    <w:qFormat/>
    <w:uiPriority w:val="0"/>
    <w:rPr>
      <w:color w:val="0000FF"/>
      <w:u w:val="single"/>
    </w:rPr>
  </w:style>
  <w:style w:type="character" w:styleId="20">
    <w:name w:val="annotation reference"/>
    <w:qFormat/>
    <w:uiPriority w:val="0"/>
    <w:rPr>
      <w:sz w:val="21"/>
      <w:szCs w:val="21"/>
    </w:rPr>
  </w:style>
  <w:style w:type="paragraph" w:customStyle="1" w:styleId="21">
    <w:name w:val="报告正文"/>
    <w:basedOn w:val="1"/>
    <w:qFormat/>
    <w:uiPriority w:val="0"/>
    <w:pPr>
      <w:tabs>
        <w:tab w:val="left" w:pos="0"/>
      </w:tabs>
      <w:spacing w:line="360" w:lineRule="auto"/>
      <w:ind w:firstLine="420" w:firstLineChars="200"/>
    </w:pPr>
    <w:rPr>
      <w:color w:val="000000"/>
    </w:rPr>
  </w:style>
  <w:style w:type="paragraph" w:customStyle="1" w:styleId="22">
    <w:name w:val="样式 Z正文 + 首行缩进:  2 字符1"/>
    <w:basedOn w:val="23"/>
    <w:qFormat/>
    <w:uiPriority w:val="0"/>
    <w:pPr>
      <w:ind w:firstLine="480"/>
    </w:pPr>
  </w:style>
  <w:style w:type="paragraph" w:customStyle="1" w:styleId="23">
    <w:name w:val="Z正文"/>
    <w:basedOn w:val="24"/>
    <w:qFormat/>
    <w:uiPriority w:val="0"/>
    <w:pPr>
      <w:ind w:firstLine="200" w:firstLineChars="200"/>
      <w:outlineLvl w:val="9"/>
    </w:pPr>
    <w:rPr>
      <w:rFonts w:ascii="Times New Roman"/>
      <w:sz w:val="24"/>
      <w:szCs w:val="24"/>
    </w:rPr>
  </w:style>
  <w:style w:type="paragraph" w:customStyle="1" w:styleId="24">
    <w:name w:val="样式 标题 1标题 11Head 1wsah1一、标题2Part'Document章Ch + 加粗"/>
    <w:basedOn w:val="2"/>
    <w:qFormat/>
    <w:uiPriority w:val="0"/>
    <w:rPr>
      <w:rFonts w:ascii="黑体"/>
      <w:sz w:val="32"/>
    </w:rPr>
  </w:style>
  <w:style w:type="paragraph" w:customStyle="1" w:styleId="25">
    <w:name w:val="Char Char Char Char Char Char1 Char"/>
    <w:basedOn w:val="1"/>
    <w:qFormat/>
    <w:uiPriority w:val="0"/>
  </w:style>
  <w:style w:type="paragraph" w:customStyle="1" w:styleId="26">
    <w:name w:val="2"/>
    <w:basedOn w:val="1"/>
    <w:qFormat/>
    <w:uiPriority w:val="0"/>
    <w:pPr>
      <w:spacing w:line="360" w:lineRule="auto"/>
      <w:ind w:firstLine="200" w:firstLineChars="200"/>
    </w:pPr>
    <w:rPr>
      <w:rFonts w:ascii="宋体" w:hAnsi="宋体" w:cs="宋体"/>
      <w:sz w:val="24"/>
    </w:rPr>
  </w:style>
  <w:style w:type="paragraph" w:customStyle="1" w:styleId="27">
    <w:name w:val="Char Char Char Char Char Char1 Char1"/>
    <w:basedOn w:val="1"/>
    <w:qFormat/>
    <w:uiPriority w:val="0"/>
  </w:style>
  <w:style w:type="paragraph" w:customStyle="1" w:styleId="28">
    <w:name w:val="列出段落1"/>
    <w:basedOn w:val="1"/>
    <w:qFormat/>
    <w:uiPriority w:val="34"/>
    <w:pPr>
      <w:ind w:firstLine="420" w:firstLineChars="200"/>
    </w:pPr>
  </w:style>
  <w:style w:type="paragraph" w:customStyle="1" w:styleId="29">
    <w:name w:val="表文字"/>
    <w:link w:val="40"/>
    <w:semiHidden/>
    <w:qFormat/>
    <w:uiPriority w:val="0"/>
    <w:pPr>
      <w:widowControl w:val="0"/>
      <w:adjustRightInd w:val="0"/>
      <w:spacing w:line="240" w:lineRule="exact"/>
      <w:jc w:val="center"/>
      <w:textAlignment w:val="baseline"/>
    </w:pPr>
    <w:rPr>
      <w:rFonts w:ascii="Times New Roman" w:hAnsi="Times New Roman" w:eastAsia="宋体" w:cs="Times New Roman"/>
      <w:sz w:val="21"/>
      <w:szCs w:val="21"/>
      <w:lang w:val="en-US" w:eastAsia="zh-CN" w:bidi="ar-SA"/>
    </w:rPr>
  </w:style>
  <w:style w:type="paragraph" w:customStyle="1" w:styleId="30">
    <w:name w:val="Char"/>
    <w:basedOn w:val="1"/>
    <w:qFormat/>
    <w:uiPriority w:val="0"/>
    <w:pPr>
      <w:widowControl/>
      <w:tabs>
        <w:tab w:val="left" w:pos="360"/>
      </w:tabs>
      <w:jc w:val="left"/>
    </w:pPr>
    <w:rPr>
      <w:kern w:val="0"/>
      <w:sz w:val="24"/>
    </w:rPr>
  </w:style>
  <w:style w:type="paragraph" w:customStyle="1" w:styleId="31">
    <w:name w:val="Char1"/>
    <w:basedOn w:val="1"/>
    <w:qFormat/>
    <w:uiPriority w:val="0"/>
    <w:pPr>
      <w:widowControl/>
      <w:tabs>
        <w:tab w:val="left" w:pos="360"/>
      </w:tabs>
      <w:jc w:val="left"/>
    </w:pPr>
    <w:rPr>
      <w:kern w:val="0"/>
      <w:sz w:val="24"/>
    </w:rPr>
  </w:style>
  <w:style w:type="paragraph" w:customStyle="1" w:styleId="32">
    <w:name w:val="标题1"/>
    <w:basedOn w:val="7"/>
    <w:link w:val="43"/>
    <w:qFormat/>
    <w:uiPriority w:val="0"/>
    <w:pPr>
      <w:jc w:val="distribute"/>
    </w:pPr>
    <w:rPr>
      <w:rFonts w:ascii="方正小标宋简体" w:eastAsia="方正小标宋简体"/>
      <w:color w:val="FF0000"/>
      <w:spacing w:val="-8"/>
      <w:sz w:val="52"/>
      <w:szCs w:val="52"/>
    </w:rPr>
  </w:style>
  <w:style w:type="paragraph" w:customStyle="1" w:styleId="33">
    <w:name w:val="文号1"/>
    <w:basedOn w:val="1"/>
    <w:link w:val="44"/>
    <w:qFormat/>
    <w:uiPriority w:val="0"/>
    <w:pPr>
      <w:adjustRightInd w:val="0"/>
      <w:snapToGrid w:val="0"/>
      <w:spacing w:beforeLines="200" w:line="400" w:lineRule="exact"/>
      <w:jc w:val="center"/>
    </w:pPr>
    <w:rPr>
      <w:rFonts w:ascii="仿宋" w:hAnsi="仿宋" w:eastAsia="仿宋"/>
      <w:sz w:val="30"/>
      <w:szCs w:val="30"/>
    </w:rPr>
  </w:style>
  <w:style w:type="paragraph" w:customStyle="1" w:styleId="34">
    <w:name w:val="标题2"/>
    <w:basedOn w:val="13"/>
    <w:link w:val="46"/>
    <w:qFormat/>
    <w:uiPriority w:val="0"/>
    <w:rPr>
      <w:rFonts w:ascii="宋体" w:hAnsi="宋体" w:eastAsia="宋体"/>
      <w:b/>
    </w:rPr>
  </w:style>
  <w:style w:type="paragraph" w:customStyle="1" w:styleId="35">
    <w:name w:val="对象"/>
    <w:basedOn w:val="1"/>
    <w:link w:val="47"/>
    <w:qFormat/>
    <w:uiPriority w:val="0"/>
    <w:pPr>
      <w:spacing w:beforeLines="100" w:line="540" w:lineRule="exact"/>
    </w:pPr>
    <w:rPr>
      <w:rFonts w:ascii="仿宋" w:hAnsi="仿宋" w:eastAsia="仿宋"/>
      <w:sz w:val="32"/>
      <w:szCs w:val="32"/>
    </w:rPr>
  </w:style>
  <w:style w:type="paragraph" w:customStyle="1" w:styleId="36">
    <w:name w:val="正本"/>
    <w:basedOn w:val="1"/>
    <w:link w:val="48"/>
    <w:qFormat/>
    <w:uiPriority w:val="0"/>
    <w:pPr>
      <w:spacing w:line="540" w:lineRule="exact"/>
      <w:ind w:firstLine="200" w:firstLineChars="200"/>
    </w:pPr>
    <w:rPr>
      <w:rFonts w:eastAsia="仿宋"/>
      <w:sz w:val="32"/>
      <w:szCs w:val="32"/>
    </w:rPr>
  </w:style>
  <w:style w:type="paragraph" w:customStyle="1" w:styleId="37">
    <w:name w:val="落款日期"/>
    <w:basedOn w:val="1"/>
    <w:link w:val="49"/>
    <w:qFormat/>
    <w:uiPriority w:val="0"/>
    <w:pPr>
      <w:spacing w:beforeLines="400" w:line="540" w:lineRule="exact"/>
      <w:ind w:right="200" w:rightChars="200" w:firstLine="200" w:firstLineChars="200"/>
      <w:jc w:val="right"/>
    </w:pPr>
    <w:rPr>
      <w:rFonts w:ascii="仿宋" w:hAnsi="仿宋" w:eastAsia="仿宋"/>
      <w:sz w:val="32"/>
      <w:szCs w:val="32"/>
    </w:rPr>
  </w:style>
  <w:style w:type="paragraph" w:customStyle="1" w:styleId="38">
    <w:name w:val="落款单位"/>
    <w:basedOn w:val="37"/>
    <w:link w:val="50"/>
    <w:qFormat/>
    <w:uiPriority w:val="0"/>
    <w:pPr>
      <w:ind w:right="300" w:rightChars="300" w:firstLine="0" w:firstLineChars="0"/>
    </w:pPr>
    <w:rPr>
      <w:rFonts w:eastAsia="仿宋_GB2312"/>
    </w:rPr>
  </w:style>
  <w:style w:type="character" w:customStyle="1" w:styleId="39">
    <w:name w:val="页脚 字符"/>
    <w:link w:val="11"/>
    <w:qFormat/>
    <w:uiPriority w:val="99"/>
    <w:rPr>
      <w:kern w:val="2"/>
      <w:sz w:val="18"/>
      <w:szCs w:val="18"/>
    </w:rPr>
  </w:style>
  <w:style w:type="character" w:customStyle="1" w:styleId="40">
    <w:name w:val="表文字 Char1"/>
    <w:link w:val="29"/>
    <w:semiHidden/>
    <w:qFormat/>
    <w:uiPriority w:val="0"/>
    <w:rPr>
      <w:sz w:val="21"/>
      <w:szCs w:val="21"/>
      <w:lang w:val="en-US" w:eastAsia="zh-CN" w:bidi="ar-SA"/>
    </w:rPr>
  </w:style>
  <w:style w:type="character" w:customStyle="1" w:styleId="41">
    <w:name w:val="日期 字符"/>
    <w:link w:val="9"/>
    <w:qFormat/>
    <w:uiPriority w:val="0"/>
    <w:rPr>
      <w:kern w:val="2"/>
      <w:sz w:val="21"/>
      <w:szCs w:val="24"/>
    </w:rPr>
  </w:style>
  <w:style w:type="character" w:customStyle="1" w:styleId="42">
    <w:name w:val="正文文本 字符"/>
    <w:link w:val="7"/>
    <w:qFormat/>
    <w:uiPriority w:val="0"/>
    <w:rPr>
      <w:b/>
      <w:kern w:val="2"/>
      <w:sz w:val="32"/>
    </w:rPr>
  </w:style>
  <w:style w:type="character" w:customStyle="1" w:styleId="43">
    <w:name w:val="标题1 字符"/>
    <w:link w:val="32"/>
    <w:qFormat/>
    <w:uiPriority w:val="0"/>
    <w:rPr>
      <w:rFonts w:ascii="方正小标宋简体" w:eastAsia="方正小标宋简体"/>
      <w:b/>
      <w:color w:val="FF0000"/>
      <w:spacing w:val="-8"/>
      <w:kern w:val="2"/>
      <w:sz w:val="52"/>
      <w:szCs w:val="52"/>
    </w:rPr>
  </w:style>
  <w:style w:type="character" w:customStyle="1" w:styleId="44">
    <w:name w:val="文号1 字符"/>
    <w:link w:val="33"/>
    <w:qFormat/>
    <w:uiPriority w:val="0"/>
    <w:rPr>
      <w:rFonts w:ascii="仿宋" w:hAnsi="仿宋" w:eastAsia="仿宋"/>
      <w:kern w:val="2"/>
      <w:sz w:val="30"/>
      <w:szCs w:val="30"/>
    </w:rPr>
  </w:style>
  <w:style w:type="character" w:customStyle="1" w:styleId="45">
    <w:name w:val="正文文本 2 字符"/>
    <w:link w:val="13"/>
    <w:qFormat/>
    <w:uiPriority w:val="0"/>
    <w:rPr>
      <w:rFonts w:ascii="方正小标宋简体" w:eastAsia="方正小标宋简体"/>
      <w:bCs/>
      <w:kern w:val="2"/>
      <w:sz w:val="44"/>
      <w:szCs w:val="44"/>
    </w:rPr>
  </w:style>
  <w:style w:type="character" w:customStyle="1" w:styleId="46">
    <w:name w:val="标题2 字符"/>
    <w:link w:val="34"/>
    <w:qFormat/>
    <w:uiPriority w:val="0"/>
    <w:rPr>
      <w:rFonts w:ascii="宋体" w:hAnsi="宋体"/>
      <w:b/>
      <w:bCs/>
      <w:kern w:val="2"/>
      <w:sz w:val="44"/>
      <w:szCs w:val="44"/>
    </w:rPr>
  </w:style>
  <w:style w:type="character" w:customStyle="1" w:styleId="47">
    <w:name w:val="对象 字符"/>
    <w:link w:val="35"/>
    <w:qFormat/>
    <w:uiPriority w:val="0"/>
    <w:rPr>
      <w:rFonts w:ascii="仿宋" w:hAnsi="仿宋" w:eastAsia="仿宋"/>
      <w:kern w:val="2"/>
      <w:sz w:val="32"/>
      <w:szCs w:val="32"/>
    </w:rPr>
  </w:style>
  <w:style w:type="character" w:customStyle="1" w:styleId="48">
    <w:name w:val="正本 字符"/>
    <w:link w:val="36"/>
    <w:qFormat/>
    <w:uiPriority w:val="0"/>
    <w:rPr>
      <w:rFonts w:eastAsia="仿宋"/>
      <w:kern w:val="2"/>
      <w:sz w:val="32"/>
      <w:szCs w:val="32"/>
    </w:rPr>
  </w:style>
  <w:style w:type="character" w:customStyle="1" w:styleId="49">
    <w:name w:val="落款日期 字符"/>
    <w:link w:val="37"/>
    <w:qFormat/>
    <w:uiPriority w:val="0"/>
    <w:rPr>
      <w:rFonts w:ascii="仿宋" w:hAnsi="仿宋" w:eastAsia="仿宋"/>
      <w:kern w:val="2"/>
      <w:sz w:val="32"/>
      <w:szCs w:val="32"/>
    </w:rPr>
  </w:style>
  <w:style w:type="character" w:customStyle="1" w:styleId="50">
    <w:name w:val="落款单位 字符"/>
    <w:link w:val="38"/>
    <w:qFormat/>
    <w:uiPriority w:val="0"/>
    <w:rPr>
      <w:rFonts w:ascii="仿宋" w:hAnsi="仿宋" w:eastAsia="仿宋_GB2312"/>
      <w:kern w:val="2"/>
      <w:sz w:val="32"/>
      <w:szCs w:val="32"/>
    </w:rPr>
  </w:style>
  <w:style w:type="character" w:customStyle="1" w:styleId="51">
    <w:name w:val="批注文字 字符"/>
    <w:link w:val="6"/>
    <w:qFormat/>
    <w:uiPriority w:val="0"/>
    <w:rPr>
      <w:kern w:val="2"/>
      <w:sz w:val="21"/>
      <w:szCs w:val="24"/>
    </w:rPr>
  </w:style>
  <w:style w:type="character" w:customStyle="1" w:styleId="52">
    <w:name w:val="批注主题 字符"/>
    <w:link w:val="14"/>
    <w:qFormat/>
    <w:uiPriority w:val="0"/>
    <w:rPr>
      <w:b/>
      <w:bCs/>
      <w:kern w:val="2"/>
      <w:sz w:val="21"/>
      <w:szCs w:val="24"/>
    </w:rPr>
  </w:style>
  <w:style w:type="character" w:customStyle="1" w:styleId="53">
    <w:name w:val="批注框文本 字符"/>
    <w:link w:val="10"/>
    <w:qFormat/>
    <w:uiPriority w:val="0"/>
    <w:rPr>
      <w:kern w:val="2"/>
      <w:sz w:val="18"/>
      <w:szCs w:val="18"/>
    </w:rPr>
  </w:style>
  <w:style w:type="paragraph" w:styleId="5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6</Pages>
  <Words>3028</Words>
  <Characters>3185</Characters>
  <Lines>18</Lines>
  <Paragraphs>5</Paragraphs>
  <TotalTime>67</TotalTime>
  <ScaleCrop>false</ScaleCrop>
  <LinksUpToDate>false</LinksUpToDate>
  <CharactersWithSpaces>3263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2025-08-19T02:56:00Z</dcterms:created>
  <dc:creator>雨林木风</dc:creator>
  <cp:lastModifiedBy>Roo</cp:lastModifiedBy>
  <cp:lastPrinted>2025-08-27T02:55:00Z</cp:lastPrinted>
  <dcterms:modified xsi:type="dcterms:W3CDTF">2025-08-27T03:36:32Z</dcterms:modified>
  <dc:title>柳环审字〔2012〕号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038A20CEEEFA4DE08498E33F024C4954_13</vt:lpwstr>
  </property>
  <property fmtid="{D5CDD505-2E9C-101B-9397-08002B2CF9AE}" pid="4" name="KSOTemplateDocerSaveRecord">
    <vt:lpwstr>eyJoZGlkIjoiNjdkZjg3YzQyMDQ4ZWZkODQ0MmYzZDZjYmNhZDFiOTciLCJ1c2VySWQiOiI3NDI3NDE5MTUifQ==</vt:lpwstr>
  </property>
</Properties>
</file>